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72C" w:rsidRDefault="00BD155E">
      <w:pPr>
        <w:jc w:val="center"/>
        <w:rPr>
          <w:rFonts w:ascii="黑体" w:eastAsia="黑体" w:hAnsi="黑体" w:cs="黑体"/>
          <w:sz w:val="44"/>
          <w:szCs w:val="44"/>
        </w:rPr>
      </w:pPr>
      <w:r>
        <w:rPr>
          <w:rFonts w:ascii="黑体" w:eastAsia="黑体" w:hAnsi="黑体" w:cs="黑体" w:hint="eastAsia"/>
          <w:sz w:val="44"/>
          <w:szCs w:val="44"/>
        </w:rPr>
        <w:t>2018年度河南省建材工业运行分析</w:t>
      </w:r>
      <w:bookmarkStart w:id="0" w:name="_GoBack"/>
      <w:bookmarkEnd w:id="0"/>
    </w:p>
    <w:p w:rsidR="006F572C" w:rsidRDefault="006F572C">
      <w:pPr>
        <w:jc w:val="center"/>
        <w:rPr>
          <w:rFonts w:ascii="黑体" w:eastAsia="黑体" w:hAnsi="黑体"/>
          <w:sz w:val="36"/>
          <w:szCs w:val="36"/>
        </w:rPr>
      </w:pPr>
    </w:p>
    <w:p w:rsidR="006F572C" w:rsidRDefault="00BD155E">
      <w:pPr>
        <w:ind w:firstLineChars="200" w:firstLine="640"/>
        <w:rPr>
          <w:rFonts w:ascii="仿宋" w:eastAsia="仿宋" w:hAnsi="仿宋"/>
          <w:sz w:val="32"/>
          <w:szCs w:val="32"/>
        </w:rPr>
      </w:pPr>
      <w:r>
        <w:rPr>
          <w:rFonts w:ascii="仿宋" w:eastAsia="仿宋" w:hAnsi="仿宋" w:hint="eastAsia"/>
          <w:sz w:val="32"/>
          <w:szCs w:val="32"/>
        </w:rPr>
        <w:t>当前建材行业正处于“</w:t>
      </w:r>
      <w:r>
        <w:rPr>
          <w:rFonts w:ascii="仿宋" w:eastAsia="仿宋" w:hAnsi="仿宋" w:hint="eastAsia"/>
          <w:sz w:val="32"/>
          <w:szCs w:val="32"/>
          <w:shd w:val="clear" w:color="auto" w:fill="FFFFFF"/>
        </w:rPr>
        <w:t>中国制造和中国创造并举期、传统建材产业量的增加到了顶峰期、结构调整补短板青黄不接的攻坚期</w:t>
      </w:r>
      <w:r>
        <w:rPr>
          <w:rFonts w:ascii="仿宋" w:eastAsia="仿宋" w:hAnsi="仿宋" w:hint="eastAsia"/>
          <w:sz w:val="32"/>
          <w:szCs w:val="32"/>
        </w:rPr>
        <w:t>”</w:t>
      </w:r>
      <w:r>
        <w:rPr>
          <w:rFonts w:ascii="仿宋" w:eastAsia="仿宋" w:hAnsi="仿宋" w:hint="eastAsia"/>
          <w:sz w:val="32"/>
          <w:szCs w:val="32"/>
          <w:shd w:val="clear" w:color="auto" w:fill="FFFFFF"/>
        </w:rPr>
        <w:t>的三期叠加的形势。建材行业最近几年由于一批高技术含量、具有国际领先水平且有跨界功能的产品涌现，建材工业进入了中国制造和中国创造的并举期；特别是今年以来几乎所有的产业产量和销售量开始下降，说明整个依赖建筑业和刚性需求的原材料工业随着国家经济结构的调整，量的需求明显开始减少，主要建材量的发展到顶峰期；结构调整补短板进行缓慢。今年以来，面对当前错综复杂的形势，在产能严重过剩等结构性矛盾还没有得到有效缓解，市场需求下滑，企业内生动力不足的问题仍然存在，行业下行压力不断积聚的情况下，建材行业经济运行总体保持平稳的运行态势。</w:t>
      </w:r>
    </w:p>
    <w:p w:rsidR="006F572C" w:rsidRDefault="00BD155E">
      <w:pPr>
        <w:ind w:firstLineChars="250" w:firstLine="800"/>
        <w:rPr>
          <w:rFonts w:ascii="仿宋" w:eastAsia="仿宋" w:hAnsi="仿宋"/>
          <w:sz w:val="32"/>
          <w:szCs w:val="32"/>
        </w:rPr>
      </w:pPr>
      <w:r>
        <w:rPr>
          <w:rFonts w:ascii="仿宋" w:eastAsia="仿宋" w:hAnsi="仿宋" w:hint="eastAsia"/>
          <w:sz w:val="32"/>
          <w:szCs w:val="32"/>
        </w:rPr>
        <w:t>2018年1-1</w:t>
      </w:r>
      <w:r w:rsidR="0059612D">
        <w:rPr>
          <w:rFonts w:ascii="仿宋" w:eastAsia="仿宋" w:hAnsi="仿宋" w:hint="eastAsia"/>
          <w:sz w:val="32"/>
          <w:szCs w:val="32"/>
        </w:rPr>
        <w:t>2</w:t>
      </w:r>
      <w:r>
        <w:rPr>
          <w:rFonts w:ascii="仿宋" w:eastAsia="仿宋" w:hAnsi="仿宋" w:hint="eastAsia"/>
          <w:sz w:val="32"/>
          <w:szCs w:val="32"/>
        </w:rPr>
        <w:t>月份，全省规模以上工业增加值</w:t>
      </w:r>
      <w:r w:rsidR="0059612D">
        <w:rPr>
          <w:rFonts w:ascii="仿宋" w:eastAsia="仿宋" w:hAnsi="仿宋" w:hint="eastAsia"/>
          <w:sz w:val="32"/>
          <w:szCs w:val="32"/>
        </w:rPr>
        <w:t>比上年</w:t>
      </w:r>
      <w:r>
        <w:rPr>
          <w:rFonts w:ascii="仿宋" w:eastAsia="仿宋" w:hAnsi="仿宋" w:hint="eastAsia"/>
          <w:sz w:val="32"/>
          <w:szCs w:val="32"/>
        </w:rPr>
        <w:t>增长</w:t>
      </w:r>
      <w:r w:rsidR="0059612D">
        <w:rPr>
          <w:rFonts w:ascii="仿宋" w:eastAsia="仿宋" w:hAnsi="仿宋" w:hint="eastAsia"/>
          <w:sz w:val="32"/>
          <w:szCs w:val="32"/>
        </w:rPr>
        <w:t>7.2</w:t>
      </w:r>
      <w:r>
        <w:rPr>
          <w:rFonts w:ascii="仿宋" w:eastAsia="仿宋" w:hAnsi="仿宋" w:hint="eastAsia"/>
          <w:sz w:val="32"/>
          <w:szCs w:val="32"/>
        </w:rPr>
        <w:t>%，高于全国平均水平1.</w:t>
      </w:r>
      <w:r w:rsidR="0059612D">
        <w:rPr>
          <w:rFonts w:ascii="仿宋" w:eastAsia="仿宋" w:hAnsi="仿宋" w:hint="eastAsia"/>
          <w:sz w:val="32"/>
          <w:szCs w:val="32"/>
        </w:rPr>
        <w:t>0</w:t>
      </w:r>
      <w:r>
        <w:rPr>
          <w:rFonts w:ascii="仿宋" w:eastAsia="仿宋" w:hAnsi="仿宋" w:hint="eastAsia"/>
          <w:sz w:val="32"/>
          <w:szCs w:val="32"/>
        </w:rPr>
        <w:t>个百分点。全省经济总体运行符合预期，结构调整深入推进，质量效益稳步提升，改革开放持续深化，发展动能加快转换。1-1</w:t>
      </w:r>
      <w:r w:rsidR="0059612D">
        <w:rPr>
          <w:rFonts w:ascii="仿宋" w:eastAsia="仿宋" w:hAnsi="仿宋" w:hint="eastAsia"/>
          <w:sz w:val="32"/>
          <w:szCs w:val="32"/>
        </w:rPr>
        <w:t>2</w:t>
      </w:r>
      <w:r>
        <w:rPr>
          <w:rFonts w:ascii="仿宋" w:eastAsia="仿宋" w:hAnsi="仿宋" w:hint="eastAsia"/>
          <w:sz w:val="32"/>
          <w:szCs w:val="32"/>
        </w:rPr>
        <w:t>月份，全省固定资产投资同比增长8.</w:t>
      </w:r>
      <w:r w:rsidR="0059612D">
        <w:rPr>
          <w:rFonts w:ascii="仿宋" w:eastAsia="仿宋" w:hAnsi="仿宋" w:hint="eastAsia"/>
          <w:sz w:val="32"/>
          <w:szCs w:val="32"/>
        </w:rPr>
        <w:t>1</w:t>
      </w:r>
      <w:r>
        <w:rPr>
          <w:rFonts w:ascii="仿宋" w:eastAsia="仿宋" w:hAnsi="仿宋" w:hint="eastAsia"/>
          <w:sz w:val="32"/>
          <w:szCs w:val="32"/>
        </w:rPr>
        <w:t>%，增速</w:t>
      </w:r>
      <w:r w:rsidR="0059612D">
        <w:rPr>
          <w:rFonts w:ascii="仿宋" w:eastAsia="仿宋" w:hAnsi="仿宋" w:hint="eastAsia"/>
          <w:sz w:val="32"/>
          <w:szCs w:val="32"/>
        </w:rPr>
        <w:t>比</w:t>
      </w:r>
      <w:r>
        <w:rPr>
          <w:rFonts w:ascii="仿宋" w:eastAsia="仿宋" w:hAnsi="仿宋" w:hint="eastAsia"/>
          <w:sz w:val="32"/>
          <w:szCs w:val="32"/>
        </w:rPr>
        <w:t>1-1</w:t>
      </w:r>
      <w:r w:rsidR="0059612D">
        <w:rPr>
          <w:rFonts w:ascii="仿宋" w:eastAsia="仿宋" w:hAnsi="仿宋" w:hint="eastAsia"/>
          <w:sz w:val="32"/>
          <w:szCs w:val="32"/>
        </w:rPr>
        <w:t>1</w:t>
      </w:r>
      <w:r>
        <w:rPr>
          <w:rFonts w:ascii="仿宋" w:eastAsia="仿宋" w:hAnsi="仿宋" w:hint="eastAsia"/>
          <w:sz w:val="32"/>
          <w:szCs w:val="32"/>
        </w:rPr>
        <w:t>月份</w:t>
      </w:r>
      <w:r w:rsidR="0059612D">
        <w:rPr>
          <w:rFonts w:ascii="仿宋" w:eastAsia="仿宋" w:hAnsi="仿宋" w:hint="eastAsia"/>
          <w:sz w:val="32"/>
          <w:szCs w:val="32"/>
        </w:rPr>
        <w:t>回落0.1个百分点</w:t>
      </w:r>
      <w:r>
        <w:rPr>
          <w:rFonts w:ascii="仿宋" w:eastAsia="仿宋" w:hAnsi="仿宋" w:hint="eastAsia"/>
          <w:sz w:val="32"/>
          <w:szCs w:val="32"/>
        </w:rPr>
        <w:t>，高于全国平均水平2.</w:t>
      </w:r>
      <w:r w:rsidR="0059612D">
        <w:rPr>
          <w:rFonts w:ascii="仿宋" w:eastAsia="仿宋" w:hAnsi="仿宋" w:hint="eastAsia"/>
          <w:sz w:val="32"/>
          <w:szCs w:val="32"/>
        </w:rPr>
        <w:t>2</w:t>
      </w:r>
      <w:r>
        <w:rPr>
          <w:rFonts w:ascii="仿宋" w:eastAsia="仿宋" w:hAnsi="仿宋" w:hint="eastAsia"/>
          <w:sz w:val="32"/>
          <w:szCs w:val="32"/>
        </w:rPr>
        <w:t>个百分点。其中,基础设施投资同比增长</w:t>
      </w:r>
      <w:r w:rsidR="0059612D">
        <w:rPr>
          <w:rFonts w:ascii="仿宋" w:eastAsia="仿宋" w:hAnsi="仿宋" w:hint="eastAsia"/>
          <w:sz w:val="32"/>
          <w:szCs w:val="32"/>
        </w:rPr>
        <w:t>18.5</w:t>
      </w:r>
      <w:r>
        <w:rPr>
          <w:rFonts w:ascii="仿宋" w:eastAsia="仿宋" w:hAnsi="仿宋" w:hint="eastAsia"/>
          <w:sz w:val="32"/>
          <w:szCs w:val="32"/>
        </w:rPr>
        <w:t>%，比1-1</w:t>
      </w:r>
      <w:r w:rsidR="0059612D">
        <w:rPr>
          <w:rFonts w:ascii="仿宋" w:eastAsia="仿宋" w:hAnsi="仿宋" w:hint="eastAsia"/>
          <w:sz w:val="32"/>
          <w:szCs w:val="32"/>
        </w:rPr>
        <w:t>1</w:t>
      </w:r>
      <w:r>
        <w:rPr>
          <w:rFonts w:ascii="仿宋" w:eastAsia="仿宋" w:hAnsi="仿宋" w:hint="eastAsia"/>
          <w:sz w:val="32"/>
          <w:szCs w:val="32"/>
        </w:rPr>
        <w:t>月份回落了</w:t>
      </w:r>
      <w:r w:rsidR="0059612D">
        <w:rPr>
          <w:rFonts w:ascii="仿宋" w:eastAsia="仿宋" w:hAnsi="仿宋" w:hint="eastAsia"/>
          <w:sz w:val="32"/>
          <w:szCs w:val="32"/>
        </w:rPr>
        <w:t>1.8</w:t>
      </w:r>
      <w:r>
        <w:rPr>
          <w:rFonts w:ascii="仿宋" w:eastAsia="仿宋" w:hAnsi="仿宋" w:hint="eastAsia"/>
          <w:sz w:val="32"/>
          <w:szCs w:val="32"/>
        </w:rPr>
        <w:t>个百分点；全省房地产</w:t>
      </w:r>
      <w:r>
        <w:rPr>
          <w:rFonts w:ascii="仿宋" w:eastAsia="仿宋" w:hAnsi="仿宋" w:hint="eastAsia"/>
          <w:sz w:val="32"/>
          <w:szCs w:val="32"/>
        </w:rPr>
        <w:lastRenderedPageBreak/>
        <w:t>开发投资</w:t>
      </w:r>
      <w:r w:rsidR="0059612D">
        <w:rPr>
          <w:rFonts w:ascii="仿宋" w:eastAsia="仿宋" w:hAnsi="仿宋" w:hint="eastAsia"/>
          <w:sz w:val="32"/>
          <w:szCs w:val="32"/>
        </w:rPr>
        <w:t>7015.47</w:t>
      </w:r>
      <w:r>
        <w:rPr>
          <w:rFonts w:ascii="仿宋" w:eastAsia="仿宋" w:hAnsi="仿宋" w:hint="eastAsia"/>
          <w:sz w:val="32"/>
          <w:szCs w:val="32"/>
        </w:rPr>
        <w:t>亿元，同比下降</w:t>
      </w:r>
      <w:r w:rsidR="0059612D">
        <w:rPr>
          <w:rFonts w:ascii="仿宋" w:eastAsia="仿宋" w:hAnsi="仿宋" w:hint="eastAsia"/>
          <w:sz w:val="32"/>
          <w:szCs w:val="32"/>
        </w:rPr>
        <w:t>1.1</w:t>
      </w:r>
      <w:r>
        <w:rPr>
          <w:rFonts w:ascii="仿宋" w:eastAsia="仿宋" w:hAnsi="仿宋" w:hint="eastAsia"/>
          <w:sz w:val="32"/>
          <w:szCs w:val="32"/>
        </w:rPr>
        <w:t>%，降幅比1-1</w:t>
      </w:r>
      <w:r w:rsidR="0059612D">
        <w:rPr>
          <w:rFonts w:ascii="仿宋" w:eastAsia="仿宋" w:hAnsi="仿宋" w:hint="eastAsia"/>
          <w:sz w:val="32"/>
          <w:szCs w:val="32"/>
        </w:rPr>
        <w:t>1</w:t>
      </w:r>
      <w:r>
        <w:rPr>
          <w:rFonts w:ascii="仿宋" w:eastAsia="仿宋" w:hAnsi="仿宋" w:hint="eastAsia"/>
          <w:sz w:val="32"/>
          <w:szCs w:val="32"/>
        </w:rPr>
        <w:t>月份收窄了0.</w:t>
      </w:r>
      <w:r w:rsidR="0059612D">
        <w:rPr>
          <w:rFonts w:ascii="仿宋" w:eastAsia="仿宋" w:hAnsi="仿宋" w:hint="eastAsia"/>
          <w:sz w:val="32"/>
          <w:szCs w:val="32"/>
        </w:rPr>
        <w:t>3</w:t>
      </w:r>
      <w:r>
        <w:rPr>
          <w:rFonts w:ascii="仿宋" w:eastAsia="仿宋" w:hAnsi="仿宋" w:hint="eastAsia"/>
          <w:sz w:val="32"/>
          <w:szCs w:val="32"/>
        </w:rPr>
        <w:t>个百分点，固定资产投资稳中趋缓，与建材行业需求密切相关的基建投资也保持了平稳增长态势，使得</w:t>
      </w:r>
      <w:r>
        <w:rPr>
          <w:rFonts w:ascii="仿宋" w:eastAsia="仿宋" w:hAnsi="仿宋" w:cs="仿宋" w:hint="eastAsia"/>
          <w:sz w:val="32"/>
          <w:szCs w:val="32"/>
        </w:rPr>
        <w:t>全省建材行业在稳中有进的状态下健康运行。</w:t>
      </w:r>
      <w:r>
        <w:rPr>
          <w:rFonts w:ascii="仿宋" w:eastAsia="仿宋" w:hAnsi="仿宋" w:hint="eastAsia"/>
          <w:sz w:val="32"/>
          <w:szCs w:val="32"/>
        </w:rPr>
        <w:t>2018年1-1</w:t>
      </w:r>
      <w:r w:rsidR="009A4137">
        <w:rPr>
          <w:rFonts w:ascii="仿宋" w:eastAsia="仿宋" w:hAnsi="仿宋" w:hint="eastAsia"/>
          <w:sz w:val="32"/>
          <w:szCs w:val="32"/>
        </w:rPr>
        <w:t>2</w:t>
      </w:r>
      <w:r>
        <w:rPr>
          <w:rFonts w:ascii="仿宋" w:eastAsia="仿宋" w:hAnsi="仿宋" w:hint="eastAsia"/>
          <w:sz w:val="32"/>
          <w:szCs w:val="32"/>
        </w:rPr>
        <w:t>全省建材工业主营业务收同比增长</w:t>
      </w:r>
      <w:r w:rsidR="009A4137">
        <w:rPr>
          <w:rFonts w:ascii="仿宋" w:eastAsia="仿宋" w:hAnsi="仿宋" w:hint="eastAsia"/>
          <w:sz w:val="32"/>
          <w:szCs w:val="32"/>
        </w:rPr>
        <w:t>13.6</w:t>
      </w:r>
      <w:r>
        <w:rPr>
          <w:rFonts w:ascii="仿宋" w:eastAsia="仿宋" w:hAnsi="仿宋" w:hint="eastAsia"/>
          <w:sz w:val="32"/>
          <w:szCs w:val="32"/>
        </w:rPr>
        <w:t>%，占全省工业比重的</w:t>
      </w:r>
      <w:r w:rsidR="009A4137">
        <w:rPr>
          <w:rFonts w:ascii="仿宋" w:eastAsia="仿宋" w:hAnsi="仿宋" w:hint="eastAsia"/>
          <w:sz w:val="32"/>
          <w:szCs w:val="32"/>
        </w:rPr>
        <w:t>7.2</w:t>
      </w:r>
      <w:r>
        <w:rPr>
          <w:rFonts w:ascii="仿宋" w:eastAsia="仿宋" w:hAnsi="仿宋" w:hint="eastAsia"/>
          <w:sz w:val="32"/>
          <w:szCs w:val="32"/>
        </w:rPr>
        <w:t>%；1-1</w:t>
      </w:r>
      <w:r w:rsidR="009A4137">
        <w:rPr>
          <w:rFonts w:ascii="仿宋" w:eastAsia="仿宋" w:hAnsi="仿宋" w:hint="eastAsia"/>
          <w:sz w:val="32"/>
          <w:szCs w:val="32"/>
        </w:rPr>
        <w:t>2</w:t>
      </w:r>
      <w:r>
        <w:rPr>
          <w:rFonts w:ascii="仿宋" w:eastAsia="仿宋" w:hAnsi="仿宋" w:hint="eastAsia"/>
          <w:sz w:val="32"/>
          <w:szCs w:val="32"/>
        </w:rPr>
        <w:t>月利润总额同比增长</w:t>
      </w:r>
      <w:r w:rsidR="009A4137">
        <w:rPr>
          <w:rFonts w:ascii="仿宋" w:eastAsia="仿宋" w:hAnsi="仿宋" w:hint="eastAsia"/>
          <w:sz w:val="32"/>
          <w:szCs w:val="32"/>
        </w:rPr>
        <w:t>28.7</w:t>
      </w:r>
      <w:r>
        <w:rPr>
          <w:rFonts w:ascii="仿宋" w:eastAsia="仿宋" w:hAnsi="仿宋" w:hint="eastAsia"/>
          <w:sz w:val="32"/>
          <w:szCs w:val="32"/>
        </w:rPr>
        <w:t>%，利润占全省工业比重的</w:t>
      </w:r>
      <w:r w:rsidR="009A4137">
        <w:rPr>
          <w:rFonts w:ascii="仿宋" w:eastAsia="仿宋" w:hAnsi="仿宋" w:hint="eastAsia"/>
          <w:sz w:val="32"/>
          <w:szCs w:val="32"/>
        </w:rPr>
        <w:t>11.1</w:t>
      </w:r>
      <w:r>
        <w:rPr>
          <w:rFonts w:ascii="仿宋" w:eastAsia="仿宋" w:hAnsi="仿宋" w:hint="eastAsia"/>
          <w:sz w:val="32"/>
          <w:szCs w:val="32"/>
        </w:rPr>
        <w:t>%。</w:t>
      </w:r>
    </w:p>
    <w:p w:rsidR="006F572C" w:rsidRDefault="00BD155E">
      <w:pPr>
        <w:jc w:val="center"/>
        <w:rPr>
          <w:rFonts w:ascii="黑体" w:eastAsia="黑体" w:hAnsi="黑体"/>
          <w:sz w:val="28"/>
          <w:szCs w:val="28"/>
        </w:rPr>
      </w:pPr>
      <w:r>
        <w:rPr>
          <w:rFonts w:ascii="黑体" w:eastAsia="黑体" w:hAnsi="黑体" w:hint="eastAsia"/>
          <w:sz w:val="28"/>
          <w:szCs w:val="28"/>
        </w:rPr>
        <w:t>表一：2018年1-1</w:t>
      </w:r>
      <w:r w:rsidR="009A4137">
        <w:rPr>
          <w:rFonts w:ascii="黑体" w:eastAsia="黑体" w:hAnsi="黑体" w:hint="eastAsia"/>
          <w:sz w:val="28"/>
          <w:szCs w:val="28"/>
        </w:rPr>
        <w:t>2</w:t>
      </w:r>
      <w:r>
        <w:rPr>
          <w:rFonts w:ascii="黑体" w:eastAsia="黑体" w:hAnsi="黑体" w:hint="eastAsia"/>
          <w:sz w:val="28"/>
          <w:szCs w:val="28"/>
        </w:rPr>
        <w:t>月全省传统支柱产业主要经济指标</w:t>
      </w:r>
    </w:p>
    <w:tbl>
      <w:tblPr>
        <w:tblStyle w:val="a9"/>
        <w:tblpPr w:leftFromText="180" w:rightFromText="180" w:vertAnchor="text" w:tblpXSpec="center" w:tblpY="1"/>
        <w:tblOverlap w:val="never"/>
        <w:tblW w:w="8800" w:type="dxa"/>
        <w:tblLayout w:type="fixed"/>
        <w:tblLook w:val="04A0"/>
      </w:tblPr>
      <w:tblGrid>
        <w:gridCol w:w="2176"/>
        <w:gridCol w:w="1518"/>
        <w:gridCol w:w="1794"/>
        <w:gridCol w:w="1518"/>
        <w:gridCol w:w="1794"/>
      </w:tblGrid>
      <w:tr w:rsidR="006F572C">
        <w:trPr>
          <w:trHeight w:hRule="exact" w:val="500"/>
        </w:trPr>
        <w:tc>
          <w:tcPr>
            <w:tcW w:w="2176" w:type="dxa"/>
            <w:noWrap/>
          </w:tcPr>
          <w:p w:rsidR="006F572C" w:rsidRDefault="00BD155E">
            <w:pPr>
              <w:spacing w:line="300" w:lineRule="exact"/>
              <w:jc w:val="center"/>
              <w:rPr>
                <w:rFonts w:ascii="宋体" w:eastAsia="宋体" w:hAnsi="宋体"/>
                <w:b/>
                <w:szCs w:val="21"/>
              </w:rPr>
            </w:pPr>
            <w:r>
              <w:rPr>
                <w:rFonts w:ascii="宋体" w:eastAsia="宋体" w:hAnsi="宋体" w:hint="eastAsia"/>
                <w:b/>
                <w:szCs w:val="21"/>
              </w:rPr>
              <w:t>行业名称</w:t>
            </w:r>
          </w:p>
        </w:tc>
        <w:tc>
          <w:tcPr>
            <w:tcW w:w="3312" w:type="dxa"/>
            <w:gridSpan w:val="2"/>
            <w:noWrap/>
          </w:tcPr>
          <w:p w:rsidR="006F572C" w:rsidRDefault="00BD155E">
            <w:pPr>
              <w:spacing w:line="300" w:lineRule="exact"/>
              <w:jc w:val="center"/>
              <w:rPr>
                <w:rFonts w:ascii="宋体" w:eastAsia="宋体" w:hAnsi="宋体"/>
                <w:b/>
                <w:szCs w:val="21"/>
              </w:rPr>
            </w:pPr>
            <w:r>
              <w:rPr>
                <w:rFonts w:ascii="宋体" w:eastAsia="宋体" w:hAnsi="宋体" w:hint="eastAsia"/>
                <w:b/>
                <w:szCs w:val="21"/>
              </w:rPr>
              <w:t>主营业务收入</w:t>
            </w:r>
          </w:p>
        </w:tc>
        <w:tc>
          <w:tcPr>
            <w:tcW w:w="3312" w:type="dxa"/>
            <w:gridSpan w:val="2"/>
          </w:tcPr>
          <w:p w:rsidR="006F572C" w:rsidRDefault="00BD155E">
            <w:pPr>
              <w:spacing w:line="300" w:lineRule="exact"/>
              <w:ind w:left="687"/>
              <w:jc w:val="center"/>
              <w:rPr>
                <w:rFonts w:ascii="宋体" w:eastAsia="宋体" w:hAnsi="宋体"/>
                <w:b/>
                <w:szCs w:val="21"/>
              </w:rPr>
            </w:pPr>
            <w:r>
              <w:rPr>
                <w:rFonts w:ascii="宋体" w:eastAsia="宋体" w:hAnsi="宋体" w:hint="eastAsia"/>
                <w:b/>
                <w:szCs w:val="21"/>
              </w:rPr>
              <w:t>利润总额</w:t>
            </w:r>
          </w:p>
        </w:tc>
      </w:tr>
      <w:tr w:rsidR="006F572C">
        <w:trPr>
          <w:trHeight w:hRule="exact" w:val="500"/>
        </w:trPr>
        <w:tc>
          <w:tcPr>
            <w:tcW w:w="2176" w:type="dxa"/>
          </w:tcPr>
          <w:p w:rsidR="006F572C" w:rsidRDefault="006F572C">
            <w:pPr>
              <w:spacing w:line="300" w:lineRule="exact"/>
              <w:jc w:val="center"/>
              <w:rPr>
                <w:rFonts w:ascii="宋体" w:eastAsia="宋体" w:hAnsi="宋体"/>
                <w:szCs w:val="21"/>
              </w:rPr>
            </w:pPr>
          </w:p>
        </w:tc>
        <w:tc>
          <w:tcPr>
            <w:tcW w:w="1518" w:type="dxa"/>
          </w:tcPr>
          <w:p w:rsidR="006F572C" w:rsidRDefault="00BD155E">
            <w:pPr>
              <w:spacing w:line="300" w:lineRule="exact"/>
              <w:jc w:val="center"/>
              <w:rPr>
                <w:rFonts w:ascii="宋体" w:eastAsia="宋体" w:hAnsi="宋体"/>
                <w:szCs w:val="21"/>
              </w:rPr>
            </w:pPr>
            <w:r>
              <w:rPr>
                <w:rFonts w:ascii="宋体" w:eastAsia="宋体" w:hAnsi="宋体" w:hint="eastAsia"/>
                <w:szCs w:val="21"/>
              </w:rPr>
              <w:t>同比增长（%）</w:t>
            </w:r>
          </w:p>
        </w:tc>
        <w:tc>
          <w:tcPr>
            <w:tcW w:w="1794" w:type="dxa"/>
          </w:tcPr>
          <w:p w:rsidR="006F572C" w:rsidRDefault="00BD155E">
            <w:pPr>
              <w:spacing w:line="300" w:lineRule="exact"/>
              <w:jc w:val="center"/>
              <w:rPr>
                <w:rFonts w:ascii="宋体" w:eastAsia="宋体" w:hAnsi="宋体"/>
                <w:szCs w:val="21"/>
              </w:rPr>
            </w:pPr>
            <w:r>
              <w:rPr>
                <w:rFonts w:ascii="宋体" w:eastAsia="宋体" w:hAnsi="宋体" w:hint="eastAsia"/>
                <w:szCs w:val="21"/>
              </w:rPr>
              <w:t>占全省比重（%）</w:t>
            </w:r>
          </w:p>
        </w:tc>
        <w:tc>
          <w:tcPr>
            <w:tcW w:w="1518" w:type="dxa"/>
          </w:tcPr>
          <w:p w:rsidR="006F572C" w:rsidRDefault="00BD155E">
            <w:pPr>
              <w:spacing w:line="300" w:lineRule="exact"/>
              <w:jc w:val="center"/>
              <w:rPr>
                <w:rFonts w:ascii="宋体" w:eastAsia="宋体" w:hAnsi="宋体"/>
                <w:szCs w:val="21"/>
              </w:rPr>
            </w:pPr>
            <w:r>
              <w:rPr>
                <w:rFonts w:ascii="宋体" w:eastAsia="宋体" w:hAnsi="宋体" w:hint="eastAsia"/>
                <w:szCs w:val="21"/>
              </w:rPr>
              <w:t>同比增长（%）</w:t>
            </w:r>
          </w:p>
        </w:tc>
        <w:tc>
          <w:tcPr>
            <w:tcW w:w="1794" w:type="dxa"/>
          </w:tcPr>
          <w:p w:rsidR="006F572C" w:rsidRDefault="00BD155E">
            <w:pPr>
              <w:spacing w:line="300" w:lineRule="exact"/>
              <w:jc w:val="center"/>
              <w:rPr>
                <w:rFonts w:ascii="宋体" w:eastAsia="宋体" w:hAnsi="宋体"/>
                <w:szCs w:val="21"/>
              </w:rPr>
            </w:pPr>
            <w:r>
              <w:rPr>
                <w:rFonts w:ascii="宋体" w:eastAsia="宋体" w:hAnsi="宋体" w:hint="eastAsia"/>
                <w:szCs w:val="21"/>
              </w:rPr>
              <w:t>占全省比重（%）</w:t>
            </w:r>
          </w:p>
        </w:tc>
      </w:tr>
      <w:tr w:rsidR="009A4137">
        <w:trPr>
          <w:trHeight w:hRule="exact" w:val="500"/>
        </w:trPr>
        <w:tc>
          <w:tcPr>
            <w:tcW w:w="2176" w:type="dxa"/>
            <w:noWrap/>
          </w:tcPr>
          <w:p w:rsidR="009A4137" w:rsidRDefault="009A4137">
            <w:pPr>
              <w:spacing w:line="300" w:lineRule="exact"/>
              <w:jc w:val="left"/>
              <w:rPr>
                <w:rFonts w:ascii="宋体" w:eastAsia="宋体" w:hAnsi="宋体"/>
                <w:b/>
                <w:bCs/>
                <w:szCs w:val="21"/>
              </w:rPr>
            </w:pPr>
            <w:r>
              <w:rPr>
                <w:rFonts w:ascii="宋体" w:eastAsia="宋体" w:hAnsi="宋体" w:hint="eastAsia"/>
                <w:b/>
                <w:bCs/>
                <w:szCs w:val="21"/>
              </w:rPr>
              <w:t>传统支柱产业合计</w:t>
            </w:r>
          </w:p>
        </w:tc>
        <w:tc>
          <w:tcPr>
            <w:tcW w:w="1518" w:type="dxa"/>
            <w:noWrap/>
            <w:vAlign w:val="center"/>
          </w:tcPr>
          <w:p w:rsidR="009A4137" w:rsidRDefault="009A4137" w:rsidP="009A4137">
            <w:pPr>
              <w:jc w:val="center"/>
              <w:rPr>
                <w:rFonts w:ascii="Times New Roman" w:eastAsia="宋体" w:hAnsi="Times New Roman" w:cs="Times New Roman"/>
                <w:b/>
                <w:bCs/>
                <w:sz w:val="20"/>
                <w:szCs w:val="20"/>
              </w:rPr>
            </w:pPr>
            <w:r>
              <w:rPr>
                <w:rFonts w:ascii="Times New Roman" w:hAnsi="Times New Roman" w:cs="Times New Roman"/>
                <w:b/>
                <w:bCs/>
                <w:sz w:val="20"/>
                <w:szCs w:val="20"/>
              </w:rPr>
              <w:t>11.7</w:t>
            </w:r>
          </w:p>
        </w:tc>
        <w:tc>
          <w:tcPr>
            <w:tcW w:w="1794" w:type="dxa"/>
            <w:noWrap/>
            <w:vAlign w:val="center"/>
          </w:tcPr>
          <w:p w:rsidR="009A4137" w:rsidRDefault="009A4137" w:rsidP="009A4137">
            <w:pPr>
              <w:jc w:val="center"/>
              <w:rPr>
                <w:rFonts w:ascii="Times New Roman" w:eastAsia="宋体" w:hAnsi="Times New Roman" w:cs="Times New Roman"/>
                <w:b/>
                <w:bCs/>
                <w:sz w:val="20"/>
                <w:szCs w:val="20"/>
              </w:rPr>
            </w:pPr>
            <w:r>
              <w:rPr>
                <w:rFonts w:ascii="Times New Roman" w:hAnsi="Times New Roman" w:cs="Times New Roman"/>
                <w:b/>
                <w:bCs/>
                <w:sz w:val="20"/>
                <w:szCs w:val="20"/>
              </w:rPr>
              <w:t>46.9</w:t>
            </w:r>
          </w:p>
        </w:tc>
        <w:tc>
          <w:tcPr>
            <w:tcW w:w="1518" w:type="dxa"/>
            <w:noWrap/>
            <w:vAlign w:val="center"/>
          </w:tcPr>
          <w:p w:rsidR="009A4137" w:rsidRDefault="009A4137" w:rsidP="009A4137">
            <w:pPr>
              <w:jc w:val="center"/>
              <w:rPr>
                <w:rFonts w:ascii="Times New Roman" w:eastAsia="宋体" w:hAnsi="Times New Roman" w:cs="Times New Roman"/>
                <w:b/>
                <w:bCs/>
                <w:sz w:val="20"/>
                <w:szCs w:val="20"/>
              </w:rPr>
            </w:pPr>
            <w:r>
              <w:rPr>
                <w:rFonts w:ascii="Times New Roman" w:hAnsi="Times New Roman" w:cs="Times New Roman"/>
                <w:b/>
                <w:bCs/>
                <w:sz w:val="20"/>
                <w:szCs w:val="20"/>
              </w:rPr>
              <w:t>35.0</w:t>
            </w:r>
          </w:p>
        </w:tc>
        <w:tc>
          <w:tcPr>
            <w:tcW w:w="1794" w:type="dxa"/>
            <w:noWrap/>
            <w:vAlign w:val="center"/>
          </w:tcPr>
          <w:p w:rsidR="009A4137" w:rsidRDefault="009A4137" w:rsidP="009A4137">
            <w:pPr>
              <w:jc w:val="center"/>
              <w:rPr>
                <w:rFonts w:ascii="Times New Roman" w:eastAsia="宋体" w:hAnsi="Times New Roman" w:cs="Times New Roman"/>
                <w:b/>
                <w:bCs/>
                <w:sz w:val="20"/>
                <w:szCs w:val="20"/>
              </w:rPr>
            </w:pPr>
            <w:r>
              <w:rPr>
                <w:rFonts w:ascii="Times New Roman" w:hAnsi="Times New Roman" w:cs="Times New Roman"/>
                <w:b/>
                <w:bCs/>
                <w:sz w:val="20"/>
                <w:szCs w:val="20"/>
              </w:rPr>
              <w:t>40.4</w:t>
            </w:r>
          </w:p>
        </w:tc>
      </w:tr>
      <w:tr w:rsidR="009A4137">
        <w:trPr>
          <w:trHeight w:hRule="exact" w:val="500"/>
        </w:trPr>
        <w:tc>
          <w:tcPr>
            <w:tcW w:w="2176" w:type="dxa"/>
            <w:noWrap/>
          </w:tcPr>
          <w:p w:rsidR="009A4137" w:rsidRDefault="009A4137">
            <w:pPr>
              <w:spacing w:line="300" w:lineRule="exact"/>
              <w:jc w:val="center"/>
              <w:rPr>
                <w:rFonts w:ascii="宋体" w:eastAsia="宋体" w:hAnsi="宋体"/>
                <w:szCs w:val="21"/>
              </w:rPr>
            </w:pPr>
            <w:r>
              <w:rPr>
                <w:rFonts w:ascii="宋体" w:eastAsia="宋体" w:hAnsi="宋体" w:hint="eastAsia"/>
                <w:szCs w:val="21"/>
              </w:rPr>
              <w:t>一、冶金工业</w:t>
            </w:r>
          </w:p>
        </w:tc>
        <w:tc>
          <w:tcPr>
            <w:tcW w:w="1518" w:type="dxa"/>
            <w:noWrap/>
            <w:vAlign w:val="center"/>
          </w:tcPr>
          <w:p w:rsidR="009A4137" w:rsidRDefault="009A4137" w:rsidP="009A4137">
            <w:pPr>
              <w:jc w:val="center"/>
              <w:rPr>
                <w:rFonts w:ascii="Times New Roman" w:eastAsia="宋体" w:hAnsi="Times New Roman" w:cs="Times New Roman"/>
                <w:sz w:val="20"/>
                <w:szCs w:val="20"/>
              </w:rPr>
            </w:pPr>
            <w:r>
              <w:rPr>
                <w:rFonts w:ascii="Times New Roman" w:hAnsi="Times New Roman" w:cs="Times New Roman"/>
                <w:sz w:val="20"/>
                <w:szCs w:val="20"/>
              </w:rPr>
              <w:t>13.2</w:t>
            </w:r>
          </w:p>
        </w:tc>
        <w:tc>
          <w:tcPr>
            <w:tcW w:w="1794" w:type="dxa"/>
            <w:noWrap/>
            <w:vAlign w:val="center"/>
          </w:tcPr>
          <w:p w:rsidR="009A4137" w:rsidRDefault="009A4137" w:rsidP="009A4137">
            <w:pPr>
              <w:jc w:val="center"/>
              <w:rPr>
                <w:rFonts w:ascii="Times New Roman" w:eastAsia="宋体" w:hAnsi="Times New Roman" w:cs="Times New Roman"/>
                <w:sz w:val="20"/>
                <w:szCs w:val="20"/>
              </w:rPr>
            </w:pPr>
            <w:r>
              <w:rPr>
                <w:rFonts w:ascii="Times New Roman" w:hAnsi="Times New Roman" w:cs="Times New Roman"/>
                <w:sz w:val="20"/>
                <w:szCs w:val="20"/>
              </w:rPr>
              <w:t>13.9</w:t>
            </w:r>
          </w:p>
        </w:tc>
        <w:tc>
          <w:tcPr>
            <w:tcW w:w="1518" w:type="dxa"/>
            <w:noWrap/>
            <w:vAlign w:val="center"/>
          </w:tcPr>
          <w:p w:rsidR="009A4137" w:rsidRDefault="009A4137" w:rsidP="009A4137">
            <w:pPr>
              <w:jc w:val="center"/>
              <w:rPr>
                <w:rFonts w:ascii="Times New Roman" w:eastAsia="宋体" w:hAnsi="Times New Roman" w:cs="Times New Roman"/>
                <w:sz w:val="20"/>
                <w:szCs w:val="20"/>
              </w:rPr>
            </w:pPr>
            <w:r>
              <w:rPr>
                <w:rFonts w:ascii="Times New Roman" w:hAnsi="Times New Roman" w:cs="Times New Roman"/>
                <w:sz w:val="20"/>
                <w:szCs w:val="20"/>
              </w:rPr>
              <w:t>28.8</w:t>
            </w:r>
          </w:p>
        </w:tc>
        <w:tc>
          <w:tcPr>
            <w:tcW w:w="1794" w:type="dxa"/>
            <w:noWrap/>
            <w:vAlign w:val="center"/>
          </w:tcPr>
          <w:p w:rsidR="009A4137" w:rsidRDefault="009A4137" w:rsidP="009A4137">
            <w:pPr>
              <w:jc w:val="center"/>
              <w:rPr>
                <w:rFonts w:ascii="Times New Roman" w:eastAsia="宋体" w:hAnsi="Times New Roman" w:cs="Times New Roman"/>
                <w:sz w:val="20"/>
                <w:szCs w:val="20"/>
              </w:rPr>
            </w:pPr>
            <w:r>
              <w:rPr>
                <w:rFonts w:ascii="Times New Roman" w:hAnsi="Times New Roman" w:cs="Times New Roman"/>
                <w:sz w:val="20"/>
                <w:szCs w:val="20"/>
              </w:rPr>
              <w:t>10.0</w:t>
            </w:r>
          </w:p>
        </w:tc>
      </w:tr>
      <w:tr w:rsidR="009A4137">
        <w:trPr>
          <w:trHeight w:hRule="exact" w:val="500"/>
        </w:trPr>
        <w:tc>
          <w:tcPr>
            <w:tcW w:w="2176" w:type="dxa"/>
            <w:noWrap/>
          </w:tcPr>
          <w:p w:rsidR="009A4137" w:rsidRDefault="009A4137">
            <w:pPr>
              <w:spacing w:line="300" w:lineRule="exact"/>
              <w:jc w:val="center"/>
              <w:rPr>
                <w:rFonts w:ascii="宋体" w:eastAsia="宋体" w:hAnsi="宋体"/>
                <w:b/>
                <w:szCs w:val="21"/>
              </w:rPr>
            </w:pPr>
            <w:r>
              <w:rPr>
                <w:rFonts w:ascii="宋体" w:eastAsia="宋体" w:hAnsi="宋体" w:hint="eastAsia"/>
                <w:b/>
                <w:szCs w:val="21"/>
              </w:rPr>
              <w:t>二、建材工业</w:t>
            </w:r>
          </w:p>
        </w:tc>
        <w:tc>
          <w:tcPr>
            <w:tcW w:w="1518" w:type="dxa"/>
            <w:noWrap/>
            <w:vAlign w:val="center"/>
          </w:tcPr>
          <w:p w:rsidR="009A4137" w:rsidRDefault="009A4137" w:rsidP="009A4137">
            <w:pPr>
              <w:jc w:val="center"/>
              <w:rPr>
                <w:rFonts w:ascii="Times New Roman" w:eastAsia="宋体" w:hAnsi="Times New Roman" w:cs="Times New Roman"/>
                <w:sz w:val="20"/>
                <w:szCs w:val="20"/>
              </w:rPr>
            </w:pPr>
            <w:r>
              <w:rPr>
                <w:rFonts w:ascii="Times New Roman" w:hAnsi="Times New Roman" w:cs="Times New Roman"/>
                <w:sz w:val="20"/>
                <w:szCs w:val="20"/>
              </w:rPr>
              <w:t>13.6</w:t>
            </w:r>
          </w:p>
        </w:tc>
        <w:tc>
          <w:tcPr>
            <w:tcW w:w="1794" w:type="dxa"/>
            <w:noWrap/>
            <w:vAlign w:val="center"/>
          </w:tcPr>
          <w:p w:rsidR="009A4137" w:rsidRDefault="009A4137" w:rsidP="009A4137">
            <w:pPr>
              <w:jc w:val="center"/>
              <w:rPr>
                <w:rFonts w:ascii="Times New Roman" w:eastAsia="宋体" w:hAnsi="Times New Roman" w:cs="Times New Roman"/>
                <w:sz w:val="20"/>
                <w:szCs w:val="20"/>
              </w:rPr>
            </w:pPr>
            <w:r>
              <w:rPr>
                <w:rFonts w:ascii="Times New Roman" w:hAnsi="Times New Roman" w:cs="Times New Roman"/>
                <w:sz w:val="20"/>
                <w:szCs w:val="20"/>
              </w:rPr>
              <w:t>7.2</w:t>
            </w:r>
          </w:p>
        </w:tc>
        <w:tc>
          <w:tcPr>
            <w:tcW w:w="1518" w:type="dxa"/>
            <w:noWrap/>
            <w:vAlign w:val="center"/>
          </w:tcPr>
          <w:p w:rsidR="009A4137" w:rsidRDefault="009A4137" w:rsidP="009A4137">
            <w:pPr>
              <w:jc w:val="center"/>
              <w:rPr>
                <w:rFonts w:ascii="Times New Roman" w:eastAsia="宋体" w:hAnsi="Times New Roman" w:cs="Times New Roman"/>
                <w:sz w:val="20"/>
                <w:szCs w:val="20"/>
              </w:rPr>
            </w:pPr>
            <w:r>
              <w:rPr>
                <w:rFonts w:ascii="Times New Roman" w:hAnsi="Times New Roman" w:cs="Times New Roman"/>
                <w:sz w:val="20"/>
                <w:szCs w:val="20"/>
              </w:rPr>
              <w:t>28.7</w:t>
            </w:r>
          </w:p>
        </w:tc>
        <w:tc>
          <w:tcPr>
            <w:tcW w:w="1794" w:type="dxa"/>
            <w:noWrap/>
            <w:vAlign w:val="center"/>
          </w:tcPr>
          <w:p w:rsidR="009A4137" w:rsidRDefault="009A4137" w:rsidP="009A4137">
            <w:pPr>
              <w:jc w:val="center"/>
              <w:rPr>
                <w:rFonts w:ascii="Times New Roman" w:eastAsia="宋体" w:hAnsi="Times New Roman" w:cs="Times New Roman"/>
                <w:sz w:val="20"/>
                <w:szCs w:val="20"/>
              </w:rPr>
            </w:pPr>
            <w:r>
              <w:rPr>
                <w:rFonts w:ascii="Times New Roman" w:hAnsi="Times New Roman" w:cs="Times New Roman"/>
                <w:sz w:val="20"/>
                <w:szCs w:val="20"/>
              </w:rPr>
              <w:t>11.1</w:t>
            </w:r>
          </w:p>
        </w:tc>
      </w:tr>
      <w:tr w:rsidR="009A4137">
        <w:trPr>
          <w:trHeight w:hRule="exact" w:val="500"/>
        </w:trPr>
        <w:tc>
          <w:tcPr>
            <w:tcW w:w="2176" w:type="dxa"/>
            <w:noWrap/>
          </w:tcPr>
          <w:p w:rsidR="009A4137" w:rsidRDefault="009A4137">
            <w:pPr>
              <w:spacing w:line="300" w:lineRule="exact"/>
              <w:jc w:val="center"/>
              <w:rPr>
                <w:rFonts w:ascii="宋体" w:eastAsia="宋体" w:hAnsi="宋体"/>
                <w:szCs w:val="21"/>
              </w:rPr>
            </w:pPr>
            <w:r>
              <w:rPr>
                <w:rFonts w:ascii="宋体" w:eastAsia="宋体" w:hAnsi="宋体" w:hint="eastAsia"/>
                <w:szCs w:val="21"/>
              </w:rPr>
              <w:t>三、化学工业</w:t>
            </w:r>
          </w:p>
        </w:tc>
        <w:tc>
          <w:tcPr>
            <w:tcW w:w="1518" w:type="dxa"/>
            <w:noWrap/>
            <w:vAlign w:val="center"/>
          </w:tcPr>
          <w:p w:rsidR="009A4137" w:rsidRDefault="009A4137" w:rsidP="009A4137">
            <w:pPr>
              <w:jc w:val="center"/>
              <w:rPr>
                <w:rFonts w:ascii="Times New Roman" w:eastAsia="宋体" w:hAnsi="Times New Roman" w:cs="Times New Roman"/>
                <w:sz w:val="20"/>
                <w:szCs w:val="20"/>
              </w:rPr>
            </w:pPr>
            <w:r>
              <w:rPr>
                <w:rFonts w:ascii="Times New Roman" w:hAnsi="Times New Roman" w:cs="Times New Roman"/>
                <w:sz w:val="20"/>
                <w:szCs w:val="20"/>
              </w:rPr>
              <w:t>14.8</w:t>
            </w:r>
          </w:p>
        </w:tc>
        <w:tc>
          <w:tcPr>
            <w:tcW w:w="1794" w:type="dxa"/>
            <w:noWrap/>
            <w:vAlign w:val="center"/>
          </w:tcPr>
          <w:p w:rsidR="009A4137" w:rsidRDefault="009A4137" w:rsidP="009A4137">
            <w:pPr>
              <w:jc w:val="center"/>
              <w:rPr>
                <w:rFonts w:ascii="Times New Roman" w:eastAsia="宋体" w:hAnsi="Times New Roman" w:cs="Times New Roman"/>
                <w:sz w:val="20"/>
                <w:szCs w:val="20"/>
              </w:rPr>
            </w:pPr>
            <w:r>
              <w:rPr>
                <w:rFonts w:ascii="Times New Roman" w:hAnsi="Times New Roman" w:cs="Times New Roman"/>
                <w:sz w:val="20"/>
                <w:szCs w:val="20"/>
              </w:rPr>
              <w:t>8.9</w:t>
            </w:r>
          </w:p>
        </w:tc>
        <w:tc>
          <w:tcPr>
            <w:tcW w:w="1518" w:type="dxa"/>
            <w:noWrap/>
            <w:vAlign w:val="center"/>
          </w:tcPr>
          <w:p w:rsidR="009A4137" w:rsidRDefault="009A4137" w:rsidP="009A4137">
            <w:pPr>
              <w:jc w:val="center"/>
              <w:rPr>
                <w:rFonts w:ascii="Times New Roman" w:eastAsia="宋体" w:hAnsi="Times New Roman" w:cs="Times New Roman"/>
                <w:sz w:val="20"/>
                <w:szCs w:val="20"/>
              </w:rPr>
            </w:pPr>
            <w:r>
              <w:rPr>
                <w:rFonts w:ascii="Times New Roman" w:hAnsi="Times New Roman" w:cs="Times New Roman"/>
                <w:sz w:val="20"/>
                <w:szCs w:val="20"/>
              </w:rPr>
              <w:t>35.1</w:t>
            </w:r>
          </w:p>
        </w:tc>
        <w:tc>
          <w:tcPr>
            <w:tcW w:w="1794" w:type="dxa"/>
            <w:noWrap/>
            <w:vAlign w:val="center"/>
          </w:tcPr>
          <w:p w:rsidR="009A4137" w:rsidRDefault="009A4137" w:rsidP="009A4137">
            <w:pPr>
              <w:jc w:val="center"/>
              <w:rPr>
                <w:rFonts w:ascii="Times New Roman" w:eastAsia="宋体" w:hAnsi="Times New Roman" w:cs="Times New Roman"/>
                <w:sz w:val="20"/>
                <w:szCs w:val="20"/>
              </w:rPr>
            </w:pPr>
            <w:r>
              <w:rPr>
                <w:rFonts w:ascii="Times New Roman" w:hAnsi="Times New Roman" w:cs="Times New Roman"/>
                <w:sz w:val="20"/>
                <w:szCs w:val="20"/>
              </w:rPr>
              <w:t>7.9</w:t>
            </w:r>
          </w:p>
        </w:tc>
      </w:tr>
      <w:tr w:rsidR="009A4137">
        <w:trPr>
          <w:trHeight w:hRule="exact" w:val="500"/>
        </w:trPr>
        <w:tc>
          <w:tcPr>
            <w:tcW w:w="2176" w:type="dxa"/>
            <w:noWrap/>
          </w:tcPr>
          <w:p w:rsidR="009A4137" w:rsidRDefault="009A4137">
            <w:pPr>
              <w:spacing w:line="300" w:lineRule="exact"/>
              <w:jc w:val="center"/>
              <w:rPr>
                <w:rFonts w:ascii="宋体" w:eastAsia="宋体" w:hAnsi="宋体"/>
                <w:szCs w:val="21"/>
              </w:rPr>
            </w:pPr>
            <w:r>
              <w:rPr>
                <w:rFonts w:ascii="宋体" w:eastAsia="宋体" w:hAnsi="宋体" w:hint="eastAsia"/>
                <w:szCs w:val="21"/>
              </w:rPr>
              <w:t>四、轻纺工业</w:t>
            </w:r>
          </w:p>
        </w:tc>
        <w:tc>
          <w:tcPr>
            <w:tcW w:w="1518" w:type="dxa"/>
            <w:noWrap/>
            <w:vAlign w:val="center"/>
          </w:tcPr>
          <w:p w:rsidR="009A4137" w:rsidRDefault="009A4137" w:rsidP="009A4137">
            <w:pPr>
              <w:jc w:val="center"/>
              <w:rPr>
                <w:rFonts w:ascii="Times New Roman" w:eastAsia="宋体" w:hAnsi="Times New Roman" w:cs="Times New Roman"/>
                <w:sz w:val="20"/>
                <w:szCs w:val="20"/>
              </w:rPr>
            </w:pPr>
            <w:r>
              <w:rPr>
                <w:rFonts w:ascii="Times New Roman" w:hAnsi="Times New Roman" w:cs="Times New Roman"/>
                <w:sz w:val="20"/>
                <w:szCs w:val="20"/>
              </w:rPr>
              <w:t>8.9</w:t>
            </w:r>
          </w:p>
        </w:tc>
        <w:tc>
          <w:tcPr>
            <w:tcW w:w="1794" w:type="dxa"/>
            <w:noWrap/>
            <w:vAlign w:val="center"/>
          </w:tcPr>
          <w:p w:rsidR="009A4137" w:rsidRDefault="009A4137" w:rsidP="009A4137">
            <w:pPr>
              <w:jc w:val="center"/>
              <w:rPr>
                <w:rFonts w:ascii="Times New Roman" w:eastAsia="宋体" w:hAnsi="Times New Roman" w:cs="Times New Roman"/>
                <w:sz w:val="20"/>
                <w:szCs w:val="20"/>
              </w:rPr>
            </w:pPr>
            <w:r>
              <w:rPr>
                <w:rFonts w:ascii="Times New Roman" w:hAnsi="Times New Roman" w:cs="Times New Roman"/>
                <w:sz w:val="20"/>
                <w:szCs w:val="20"/>
              </w:rPr>
              <w:t>7.4</w:t>
            </w:r>
          </w:p>
        </w:tc>
        <w:tc>
          <w:tcPr>
            <w:tcW w:w="1518" w:type="dxa"/>
            <w:noWrap/>
            <w:vAlign w:val="center"/>
          </w:tcPr>
          <w:p w:rsidR="009A4137" w:rsidRDefault="009A4137" w:rsidP="009A4137">
            <w:pPr>
              <w:jc w:val="center"/>
              <w:rPr>
                <w:rFonts w:ascii="Times New Roman" w:eastAsia="宋体" w:hAnsi="Times New Roman" w:cs="Times New Roman"/>
                <w:sz w:val="20"/>
                <w:szCs w:val="20"/>
              </w:rPr>
            </w:pPr>
            <w:r>
              <w:rPr>
                <w:rFonts w:ascii="Times New Roman" w:hAnsi="Times New Roman" w:cs="Times New Roman"/>
                <w:sz w:val="20"/>
                <w:szCs w:val="20"/>
              </w:rPr>
              <w:t>19.7</w:t>
            </w:r>
          </w:p>
        </w:tc>
        <w:tc>
          <w:tcPr>
            <w:tcW w:w="1794" w:type="dxa"/>
            <w:noWrap/>
            <w:vAlign w:val="center"/>
          </w:tcPr>
          <w:p w:rsidR="009A4137" w:rsidRDefault="009A4137" w:rsidP="009A4137">
            <w:pPr>
              <w:jc w:val="center"/>
              <w:rPr>
                <w:rFonts w:ascii="Times New Roman" w:eastAsia="宋体" w:hAnsi="Times New Roman" w:cs="Times New Roman"/>
                <w:sz w:val="20"/>
                <w:szCs w:val="20"/>
              </w:rPr>
            </w:pPr>
            <w:r>
              <w:rPr>
                <w:rFonts w:ascii="Times New Roman" w:hAnsi="Times New Roman" w:cs="Times New Roman"/>
                <w:sz w:val="20"/>
                <w:szCs w:val="20"/>
              </w:rPr>
              <w:t>9.0</w:t>
            </w:r>
          </w:p>
        </w:tc>
      </w:tr>
      <w:tr w:rsidR="009A4137">
        <w:trPr>
          <w:trHeight w:hRule="exact" w:val="500"/>
        </w:trPr>
        <w:tc>
          <w:tcPr>
            <w:tcW w:w="2176" w:type="dxa"/>
            <w:noWrap/>
          </w:tcPr>
          <w:p w:rsidR="009A4137" w:rsidRDefault="009A4137">
            <w:pPr>
              <w:jc w:val="center"/>
              <w:rPr>
                <w:rFonts w:ascii="宋体" w:eastAsia="宋体" w:hAnsi="宋体"/>
                <w:szCs w:val="21"/>
              </w:rPr>
            </w:pPr>
            <w:r>
              <w:rPr>
                <w:rFonts w:ascii="宋体" w:eastAsia="宋体" w:hAnsi="宋体" w:hint="eastAsia"/>
                <w:szCs w:val="21"/>
              </w:rPr>
              <w:t>五、能源工业</w:t>
            </w:r>
          </w:p>
        </w:tc>
        <w:tc>
          <w:tcPr>
            <w:tcW w:w="1518" w:type="dxa"/>
            <w:noWrap/>
            <w:vAlign w:val="center"/>
          </w:tcPr>
          <w:p w:rsidR="009A4137" w:rsidRDefault="009A4137" w:rsidP="009A4137">
            <w:pPr>
              <w:jc w:val="center"/>
              <w:rPr>
                <w:rFonts w:ascii="Times New Roman" w:eastAsia="宋体" w:hAnsi="Times New Roman" w:cs="Times New Roman"/>
                <w:sz w:val="20"/>
                <w:szCs w:val="20"/>
              </w:rPr>
            </w:pPr>
            <w:r>
              <w:rPr>
                <w:rFonts w:ascii="Times New Roman" w:hAnsi="Times New Roman" w:cs="Times New Roman"/>
                <w:sz w:val="20"/>
                <w:szCs w:val="20"/>
              </w:rPr>
              <w:t>7.8</w:t>
            </w:r>
          </w:p>
        </w:tc>
        <w:tc>
          <w:tcPr>
            <w:tcW w:w="1794" w:type="dxa"/>
            <w:noWrap/>
            <w:vAlign w:val="center"/>
          </w:tcPr>
          <w:p w:rsidR="009A4137" w:rsidRDefault="009A4137" w:rsidP="009A4137">
            <w:pPr>
              <w:jc w:val="center"/>
              <w:rPr>
                <w:rFonts w:ascii="Times New Roman" w:eastAsia="宋体" w:hAnsi="Times New Roman" w:cs="Times New Roman"/>
                <w:sz w:val="20"/>
                <w:szCs w:val="20"/>
              </w:rPr>
            </w:pPr>
            <w:r>
              <w:rPr>
                <w:rFonts w:ascii="Times New Roman" w:hAnsi="Times New Roman" w:cs="Times New Roman"/>
                <w:sz w:val="20"/>
                <w:szCs w:val="20"/>
              </w:rPr>
              <w:t>9.5</w:t>
            </w:r>
          </w:p>
        </w:tc>
        <w:tc>
          <w:tcPr>
            <w:tcW w:w="1518" w:type="dxa"/>
            <w:noWrap/>
            <w:vAlign w:val="center"/>
          </w:tcPr>
          <w:p w:rsidR="009A4137" w:rsidRDefault="009A4137" w:rsidP="009A4137">
            <w:pPr>
              <w:jc w:val="center"/>
              <w:rPr>
                <w:rFonts w:ascii="Times New Roman" w:eastAsia="宋体" w:hAnsi="Times New Roman" w:cs="Times New Roman"/>
                <w:sz w:val="20"/>
                <w:szCs w:val="20"/>
              </w:rPr>
            </w:pPr>
            <w:r>
              <w:rPr>
                <w:rFonts w:ascii="Times New Roman" w:hAnsi="Times New Roman" w:cs="Times New Roman"/>
                <w:sz w:val="20"/>
                <w:szCs w:val="20"/>
              </w:rPr>
              <w:t>1385.9</w:t>
            </w:r>
          </w:p>
        </w:tc>
        <w:tc>
          <w:tcPr>
            <w:tcW w:w="1794" w:type="dxa"/>
            <w:noWrap/>
            <w:vAlign w:val="center"/>
          </w:tcPr>
          <w:p w:rsidR="009A4137" w:rsidRDefault="009A4137" w:rsidP="009A4137">
            <w:pPr>
              <w:jc w:val="center"/>
              <w:rPr>
                <w:rFonts w:ascii="Times New Roman" w:eastAsia="宋体" w:hAnsi="Times New Roman" w:cs="Times New Roman"/>
                <w:sz w:val="20"/>
                <w:szCs w:val="20"/>
              </w:rPr>
            </w:pPr>
            <w:r>
              <w:rPr>
                <w:rFonts w:ascii="Times New Roman" w:hAnsi="Times New Roman" w:cs="Times New Roman"/>
                <w:sz w:val="20"/>
                <w:szCs w:val="20"/>
              </w:rPr>
              <w:t>2.4</w:t>
            </w:r>
          </w:p>
        </w:tc>
      </w:tr>
    </w:tbl>
    <w:p w:rsidR="006F572C" w:rsidRDefault="00BD155E">
      <w:pPr>
        <w:ind w:firstLineChars="200" w:firstLine="643"/>
        <w:rPr>
          <w:rFonts w:ascii="仿宋" w:eastAsia="仿宋" w:hAnsi="仿宋"/>
          <w:b/>
          <w:sz w:val="32"/>
          <w:szCs w:val="32"/>
        </w:rPr>
      </w:pPr>
      <w:r>
        <w:rPr>
          <w:rFonts w:ascii="仿宋" w:eastAsia="仿宋" w:hAnsi="仿宋" w:hint="eastAsia"/>
          <w:b/>
          <w:sz w:val="32"/>
          <w:szCs w:val="32"/>
        </w:rPr>
        <w:t>一、全省水泥工业运行情况</w:t>
      </w:r>
    </w:p>
    <w:p w:rsidR="006F572C" w:rsidRDefault="00BD155E">
      <w:pPr>
        <w:ind w:firstLineChars="200" w:firstLine="640"/>
        <w:rPr>
          <w:rFonts w:ascii="仿宋" w:eastAsia="仿宋" w:hAnsi="仿宋"/>
          <w:sz w:val="32"/>
          <w:szCs w:val="32"/>
        </w:rPr>
      </w:pPr>
      <w:r>
        <w:rPr>
          <w:rFonts w:ascii="仿宋" w:eastAsia="仿宋" w:hAnsi="仿宋" w:cs="仿宋" w:hint="eastAsia"/>
          <w:sz w:val="32"/>
          <w:szCs w:val="32"/>
        </w:rPr>
        <w:t>12</w:t>
      </w:r>
      <w:r>
        <w:rPr>
          <w:rFonts w:ascii="仿宋" w:eastAsia="仿宋" w:hAnsi="仿宋" w:hint="eastAsia"/>
          <w:sz w:val="32"/>
          <w:szCs w:val="32"/>
        </w:rPr>
        <w:t>月28日，省工信厅印发的《河南省水泥行业转型发展行动方案(2018—2020年)》明确了全省水泥行业的发展目标及主要任务，力争到2020年，全省水泥行业实现“两减两提升”。“两减”，即水泥产能、水泥熟料企业、水泥粉磨装备明显减少，水泥行业污染物排放总量大幅减少，水泥产能控制在1.5亿吨左右，企业熟料生产工序实现超低排放。“两提升”，即企业智能化水平明显提升，资源综合利用水</w:t>
      </w:r>
      <w:r>
        <w:rPr>
          <w:rFonts w:ascii="仿宋" w:eastAsia="仿宋" w:hAnsi="仿宋" w:hint="eastAsia"/>
          <w:sz w:val="32"/>
          <w:szCs w:val="32"/>
        </w:rPr>
        <w:lastRenderedPageBreak/>
        <w:t>平明显提升，全员劳动生产率提高30%，建成水泥窑协同处置城市生活垃圾示范生产线5条左右。</w:t>
      </w:r>
    </w:p>
    <w:p w:rsidR="006F572C" w:rsidRDefault="00BD155E">
      <w:pPr>
        <w:ind w:firstLineChars="200" w:firstLine="640"/>
        <w:rPr>
          <w:rFonts w:ascii="仿宋" w:eastAsia="仿宋" w:hAnsi="仿宋"/>
          <w:sz w:val="32"/>
          <w:szCs w:val="32"/>
        </w:rPr>
      </w:pPr>
      <w:r>
        <w:rPr>
          <w:rFonts w:ascii="仿宋" w:eastAsia="仿宋" w:hAnsi="仿宋" w:hint="eastAsia"/>
          <w:sz w:val="32"/>
          <w:szCs w:val="32"/>
        </w:rPr>
        <w:t>为进一步推进我省建材企业节能减排工作进程，落实“十三五”期间合理有序的完成节能减排目标，2018年以来全省平均停产161天，累计减产熟料3899万吨。</w:t>
      </w:r>
      <w:r>
        <w:rPr>
          <w:rFonts w:ascii="仿宋" w:eastAsia="仿宋" w:hAnsi="仿宋" w:hint="eastAsia"/>
          <w:b/>
          <w:sz w:val="32"/>
          <w:szCs w:val="32"/>
        </w:rPr>
        <w:t>全省召开C9+2水泥企业节能减排工作座谈会7次</w:t>
      </w:r>
      <w:r>
        <w:rPr>
          <w:rFonts w:ascii="仿宋" w:eastAsia="仿宋" w:hAnsi="仿宋" w:hint="eastAsia"/>
          <w:sz w:val="32"/>
          <w:szCs w:val="32"/>
        </w:rPr>
        <w:t>，重点分析全省水泥工业运行情况，稳定市场竞争秩序，强化行业自律,预测我省水泥工业运行态势，总结前一阶段节能减排工作，研讨新形势下行业节能减排工作及应对措施；</w:t>
      </w:r>
      <w:r>
        <w:rPr>
          <w:rFonts w:ascii="仿宋" w:eastAsia="仿宋" w:hAnsi="仿宋" w:hint="eastAsia"/>
          <w:b/>
          <w:sz w:val="32"/>
          <w:szCs w:val="32"/>
        </w:rPr>
        <w:t>召开全省水泥熟料企业节能减排工作座谈会6次，</w:t>
      </w:r>
      <w:r>
        <w:rPr>
          <w:rFonts w:ascii="仿宋" w:eastAsia="仿宋" w:hAnsi="仿宋" w:hint="eastAsia"/>
          <w:sz w:val="32"/>
          <w:szCs w:val="32"/>
        </w:rPr>
        <w:t>会议旨在构建企业与政府、企业与行业、企业与企业之间节能减排工作的合作与交流平台。天瑞集团、中联水泥、同力水泥等省内等二十多家重点水泥熟料生产企业领导就我省水泥工业目前遇到的新问题进行了认真、热烈、坦率的发言和讨论，倡导加强企业节能减排工作宣传和员工教育，建立节能减排长效工作机制，建立健全节能减排责任制，促进节能减排工作的顺利实施；</w:t>
      </w:r>
      <w:r>
        <w:rPr>
          <w:rFonts w:ascii="仿宋" w:eastAsia="仿宋" w:hAnsi="仿宋" w:hint="eastAsia"/>
          <w:b/>
          <w:sz w:val="32"/>
          <w:szCs w:val="32"/>
        </w:rPr>
        <w:t>晋冀鲁豫C12+4水泥去产能研讨会每月定期召开会议</w:t>
      </w:r>
      <w:r>
        <w:rPr>
          <w:rFonts w:ascii="仿宋" w:eastAsia="仿宋" w:hAnsi="仿宋" w:hint="eastAsia"/>
          <w:sz w:val="32"/>
          <w:szCs w:val="32"/>
        </w:rPr>
        <w:t>，着重分析全国和晋冀鲁豫水泥市场、价格、需求、停窑天数与行业效益的变化趋势，针对2018年错峰生产和市场出现的新情况，进行积极讨论，坚定行业自律信心，为行业的的健康可持续发展起到了积极的作用。</w:t>
      </w:r>
    </w:p>
    <w:p w:rsidR="006F572C" w:rsidRDefault="00BD155E">
      <w:pPr>
        <w:ind w:firstLineChars="200" w:firstLine="640"/>
        <w:rPr>
          <w:rFonts w:ascii="仿宋" w:eastAsia="仿宋" w:hAnsi="仿宋" w:cs="仿宋"/>
          <w:sz w:val="32"/>
          <w:szCs w:val="32"/>
        </w:rPr>
      </w:pPr>
      <w:r>
        <w:rPr>
          <w:rFonts w:ascii="仿宋" w:eastAsia="仿宋" w:hAnsi="仿宋" w:cs="仿宋" w:hint="eastAsia"/>
          <w:sz w:val="32"/>
          <w:szCs w:val="32"/>
        </w:rPr>
        <w:t>2018年1-1</w:t>
      </w:r>
      <w:r w:rsidR="00EB37BB">
        <w:rPr>
          <w:rFonts w:ascii="仿宋" w:eastAsia="仿宋" w:hAnsi="仿宋" w:cs="仿宋" w:hint="eastAsia"/>
          <w:sz w:val="32"/>
          <w:szCs w:val="32"/>
        </w:rPr>
        <w:t>2</w:t>
      </w:r>
      <w:r>
        <w:rPr>
          <w:rFonts w:ascii="仿宋" w:eastAsia="仿宋" w:hAnsi="仿宋" w:cs="仿宋" w:hint="eastAsia"/>
          <w:sz w:val="32"/>
          <w:szCs w:val="32"/>
        </w:rPr>
        <w:t>月全省规模以上企业熟料累计产量</w:t>
      </w:r>
      <w:r w:rsidR="00EB37BB">
        <w:rPr>
          <w:rFonts w:ascii="仿宋" w:eastAsia="仿宋" w:hAnsi="仿宋" w:cs="仿宋" w:hint="eastAsia"/>
          <w:sz w:val="32"/>
          <w:szCs w:val="32"/>
        </w:rPr>
        <w:t>6394</w:t>
      </w:r>
      <w:r>
        <w:rPr>
          <w:rFonts w:ascii="仿宋" w:eastAsia="仿宋" w:hAnsi="仿宋" w:cs="仿宋" w:hint="eastAsia"/>
          <w:sz w:val="32"/>
          <w:szCs w:val="32"/>
        </w:rPr>
        <w:t>万</w:t>
      </w:r>
      <w:r>
        <w:rPr>
          <w:rFonts w:ascii="仿宋" w:eastAsia="仿宋" w:hAnsi="仿宋" w:cs="仿宋" w:hint="eastAsia"/>
          <w:sz w:val="32"/>
          <w:szCs w:val="32"/>
        </w:rPr>
        <w:lastRenderedPageBreak/>
        <w:t>吨，同比</w:t>
      </w:r>
      <w:r w:rsidR="00EB37BB">
        <w:rPr>
          <w:rFonts w:ascii="仿宋" w:eastAsia="仿宋" w:hAnsi="仿宋" w:cs="仿宋" w:hint="eastAsia"/>
          <w:sz w:val="32"/>
          <w:szCs w:val="32"/>
        </w:rPr>
        <w:t>增加0.94</w:t>
      </w:r>
      <w:r>
        <w:rPr>
          <w:rFonts w:ascii="仿宋" w:eastAsia="仿宋" w:hAnsi="仿宋" w:cs="仿宋" w:hint="eastAsia"/>
          <w:sz w:val="32"/>
          <w:szCs w:val="32"/>
        </w:rPr>
        <w:t>%，占全国熟料产量的4.</w:t>
      </w:r>
      <w:r w:rsidR="00EB37BB">
        <w:rPr>
          <w:rFonts w:ascii="仿宋" w:eastAsia="仿宋" w:hAnsi="仿宋" w:cs="仿宋" w:hint="eastAsia"/>
          <w:sz w:val="32"/>
          <w:szCs w:val="32"/>
        </w:rPr>
        <w:t>49</w:t>
      </w:r>
      <w:r>
        <w:rPr>
          <w:rFonts w:ascii="仿宋" w:eastAsia="仿宋" w:hAnsi="仿宋" w:cs="仿宋" w:hint="eastAsia"/>
          <w:sz w:val="32"/>
          <w:szCs w:val="32"/>
        </w:rPr>
        <w:t>%（全国熟料累计产量</w:t>
      </w:r>
      <w:r w:rsidR="00EB37BB">
        <w:rPr>
          <w:rFonts w:ascii="仿宋" w:eastAsia="仿宋" w:hAnsi="仿宋" w:cs="仿宋" w:hint="eastAsia"/>
          <w:sz w:val="32"/>
          <w:szCs w:val="32"/>
        </w:rPr>
        <w:t>14.23</w:t>
      </w:r>
      <w:r>
        <w:rPr>
          <w:rFonts w:ascii="仿宋" w:eastAsia="仿宋" w:hAnsi="仿宋" w:cs="仿宋" w:hint="eastAsia"/>
          <w:sz w:val="32"/>
          <w:szCs w:val="32"/>
        </w:rPr>
        <w:t>亿吨，同比增长</w:t>
      </w:r>
      <w:r w:rsidR="00EB37BB">
        <w:rPr>
          <w:rFonts w:ascii="仿宋" w:eastAsia="仿宋" w:hAnsi="仿宋" w:cs="仿宋" w:hint="eastAsia"/>
          <w:sz w:val="32"/>
          <w:szCs w:val="32"/>
        </w:rPr>
        <w:t>3.56</w:t>
      </w:r>
      <w:r>
        <w:rPr>
          <w:rFonts w:ascii="仿宋" w:eastAsia="仿宋" w:hAnsi="仿宋" w:cs="仿宋" w:hint="eastAsia"/>
          <w:sz w:val="32"/>
          <w:szCs w:val="32"/>
        </w:rPr>
        <w:t xml:space="preserve">%.） </w:t>
      </w:r>
    </w:p>
    <w:p w:rsidR="006F572C" w:rsidRDefault="00BD155E">
      <w:pPr>
        <w:spacing w:line="600" w:lineRule="exact"/>
        <w:rPr>
          <w:rFonts w:ascii="黑体" w:eastAsia="黑体" w:hAnsi="黑体" w:cs="仿宋"/>
          <w:sz w:val="28"/>
          <w:szCs w:val="28"/>
        </w:rPr>
      </w:pPr>
      <w:r>
        <w:rPr>
          <w:rFonts w:ascii="黑体" w:eastAsia="黑体" w:hAnsi="黑体" w:cs="仿宋" w:hint="eastAsia"/>
          <w:sz w:val="28"/>
          <w:szCs w:val="28"/>
        </w:rPr>
        <w:t>图一：2018年1-1</w:t>
      </w:r>
      <w:r w:rsidR="002D2B75">
        <w:rPr>
          <w:rFonts w:ascii="黑体" w:eastAsia="黑体" w:hAnsi="黑体" w:cs="仿宋" w:hint="eastAsia"/>
          <w:sz w:val="28"/>
          <w:szCs w:val="28"/>
        </w:rPr>
        <w:t>2</w:t>
      </w:r>
      <w:r>
        <w:rPr>
          <w:rFonts w:ascii="黑体" w:eastAsia="黑体" w:hAnsi="黑体" w:cs="仿宋" w:hint="eastAsia"/>
          <w:sz w:val="28"/>
          <w:szCs w:val="28"/>
        </w:rPr>
        <w:t>月全省水泥熟料累计产量（万吨）和同比增长率</w:t>
      </w:r>
    </w:p>
    <w:p w:rsidR="006F572C" w:rsidRDefault="002D2B75" w:rsidP="002D2B75">
      <w:pPr>
        <w:jc w:val="center"/>
        <w:rPr>
          <w:rFonts w:ascii="仿宋" w:eastAsia="仿宋" w:hAnsi="仿宋" w:cs="仿宋"/>
          <w:sz w:val="32"/>
          <w:szCs w:val="32"/>
        </w:rPr>
      </w:pPr>
      <w:r w:rsidRPr="002D2B75">
        <w:rPr>
          <w:rFonts w:ascii="仿宋" w:eastAsia="仿宋" w:hAnsi="仿宋" w:cs="仿宋" w:hint="eastAsia"/>
          <w:noProof/>
          <w:sz w:val="32"/>
          <w:szCs w:val="32"/>
        </w:rPr>
        <w:drawing>
          <wp:inline distT="0" distB="0" distL="0" distR="0">
            <wp:extent cx="4372080" cy="2567354"/>
            <wp:effectExtent l="19050" t="0" r="9420" b="0"/>
            <wp:docPr id="16" name="图片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717"/>
                    <a:stretch>
                      <a:fillRect/>
                    </a:stretch>
                  </pic:blipFill>
                  <pic:spPr>
                    <a:xfrm>
                      <a:off x="0" y="0"/>
                      <a:ext cx="4372080" cy="2567354"/>
                    </a:xfrm>
                    <a:prstGeom prst="rect">
                      <a:avLst/>
                    </a:prstGeom>
                  </pic:spPr>
                </pic:pic>
              </a:graphicData>
            </a:graphic>
          </wp:inline>
        </w:drawing>
      </w:r>
    </w:p>
    <w:p w:rsidR="006F572C" w:rsidRDefault="00BD155E">
      <w:pPr>
        <w:ind w:firstLineChars="200" w:firstLine="640"/>
        <w:rPr>
          <w:rFonts w:ascii="仿宋" w:eastAsia="仿宋" w:hAnsi="仿宋" w:cs="仿宋"/>
          <w:sz w:val="32"/>
          <w:szCs w:val="32"/>
        </w:rPr>
      </w:pPr>
      <w:r>
        <w:rPr>
          <w:rFonts w:ascii="仿宋" w:eastAsia="仿宋" w:hAnsi="仿宋" w:cs="仿宋" w:hint="eastAsia"/>
          <w:sz w:val="32"/>
          <w:szCs w:val="32"/>
        </w:rPr>
        <w:t>1-1</w:t>
      </w:r>
      <w:r w:rsidR="00EB37BB">
        <w:rPr>
          <w:rFonts w:ascii="仿宋" w:eastAsia="仿宋" w:hAnsi="仿宋" w:cs="仿宋" w:hint="eastAsia"/>
          <w:sz w:val="32"/>
          <w:szCs w:val="32"/>
        </w:rPr>
        <w:t>2</w:t>
      </w:r>
      <w:r>
        <w:rPr>
          <w:rFonts w:ascii="仿宋" w:eastAsia="仿宋" w:hAnsi="仿宋" w:cs="仿宋" w:hint="eastAsia"/>
          <w:sz w:val="32"/>
          <w:szCs w:val="32"/>
        </w:rPr>
        <w:t>月份全省规模以上企业水泥累计产量</w:t>
      </w:r>
      <w:r w:rsidR="00DE2320">
        <w:rPr>
          <w:rFonts w:ascii="仿宋" w:eastAsia="仿宋" w:hAnsi="仿宋" w:cs="仿宋" w:hint="eastAsia"/>
          <w:sz w:val="32"/>
          <w:szCs w:val="32"/>
        </w:rPr>
        <w:t>1.1亿</w:t>
      </w:r>
      <w:r>
        <w:rPr>
          <w:rFonts w:ascii="仿宋" w:eastAsia="仿宋" w:hAnsi="仿宋" w:cs="仿宋" w:hint="eastAsia"/>
          <w:sz w:val="32"/>
          <w:szCs w:val="32"/>
        </w:rPr>
        <w:t>吨，同比增</w:t>
      </w:r>
      <w:r w:rsidR="00DE2320">
        <w:rPr>
          <w:rFonts w:ascii="仿宋" w:eastAsia="仿宋" w:hAnsi="仿宋" w:cs="仿宋" w:hint="eastAsia"/>
          <w:sz w:val="32"/>
          <w:szCs w:val="32"/>
        </w:rPr>
        <w:t>长5.21%</w:t>
      </w:r>
      <w:r>
        <w:rPr>
          <w:rFonts w:ascii="仿宋" w:eastAsia="仿宋" w:hAnsi="仿宋" w:cs="仿宋" w:hint="eastAsia"/>
          <w:sz w:val="32"/>
          <w:szCs w:val="32"/>
        </w:rPr>
        <w:t>，占全国产量的</w:t>
      </w:r>
      <w:r w:rsidR="00DE2320">
        <w:rPr>
          <w:rFonts w:ascii="仿宋" w:eastAsia="仿宋" w:hAnsi="仿宋" w:cs="仿宋" w:hint="eastAsia"/>
          <w:sz w:val="32"/>
          <w:szCs w:val="32"/>
        </w:rPr>
        <w:t>5.04</w:t>
      </w:r>
      <w:r>
        <w:rPr>
          <w:rFonts w:ascii="仿宋" w:eastAsia="仿宋" w:hAnsi="仿宋" w:cs="仿宋" w:hint="eastAsia"/>
          <w:sz w:val="32"/>
          <w:szCs w:val="32"/>
        </w:rPr>
        <w:t>%（全国水泥累计产量</w:t>
      </w:r>
      <w:r w:rsidR="00DE2320">
        <w:rPr>
          <w:rFonts w:ascii="仿宋" w:eastAsia="仿宋" w:hAnsi="仿宋" w:cs="仿宋" w:hint="eastAsia"/>
          <w:sz w:val="32"/>
          <w:szCs w:val="32"/>
        </w:rPr>
        <w:t>21.77</w:t>
      </w:r>
      <w:r>
        <w:rPr>
          <w:rFonts w:ascii="仿宋" w:eastAsia="仿宋" w:hAnsi="仿宋" w:cs="仿宋" w:hint="eastAsia"/>
          <w:sz w:val="32"/>
          <w:szCs w:val="32"/>
        </w:rPr>
        <w:t>亿吨，同比增长</w:t>
      </w:r>
      <w:r w:rsidR="00DE2320">
        <w:rPr>
          <w:rFonts w:ascii="仿宋" w:eastAsia="仿宋" w:hAnsi="仿宋" w:cs="仿宋" w:hint="eastAsia"/>
          <w:sz w:val="32"/>
          <w:szCs w:val="32"/>
        </w:rPr>
        <w:t>3.04</w:t>
      </w:r>
      <w:r>
        <w:rPr>
          <w:rFonts w:ascii="仿宋" w:eastAsia="仿宋" w:hAnsi="仿宋" w:cs="仿宋" w:hint="eastAsia"/>
          <w:sz w:val="32"/>
          <w:szCs w:val="32"/>
        </w:rPr>
        <w:t>%）1-1</w:t>
      </w:r>
      <w:r w:rsidR="00DE2320">
        <w:rPr>
          <w:rFonts w:ascii="仿宋" w:eastAsia="仿宋" w:hAnsi="仿宋" w:cs="仿宋" w:hint="eastAsia"/>
          <w:sz w:val="32"/>
          <w:szCs w:val="32"/>
        </w:rPr>
        <w:t>2</w:t>
      </w:r>
      <w:r>
        <w:rPr>
          <w:rFonts w:ascii="仿宋" w:eastAsia="仿宋" w:hAnsi="仿宋" w:cs="仿宋" w:hint="eastAsia"/>
          <w:sz w:val="32"/>
          <w:szCs w:val="32"/>
        </w:rPr>
        <w:t>月我省水泥累计产量全国第</w:t>
      </w:r>
      <w:r w:rsidR="00DE2320">
        <w:rPr>
          <w:rFonts w:ascii="仿宋" w:eastAsia="仿宋" w:hAnsi="仿宋" w:cs="仿宋" w:hint="eastAsia"/>
          <w:sz w:val="32"/>
          <w:szCs w:val="32"/>
        </w:rPr>
        <w:t>10</w:t>
      </w:r>
      <w:r>
        <w:rPr>
          <w:rFonts w:ascii="仿宋" w:eastAsia="仿宋" w:hAnsi="仿宋" w:cs="仿宋" w:hint="eastAsia"/>
          <w:sz w:val="32"/>
          <w:szCs w:val="32"/>
        </w:rPr>
        <w:t>位。</w:t>
      </w:r>
      <w:r>
        <w:rPr>
          <w:rFonts w:ascii="仿宋" w:eastAsia="仿宋" w:hAnsi="仿宋" w:hint="eastAsia"/>
          <w:sz w:val="32"/>
          <w:szCs w:val="32"/>
        </w:rPr>
        <w:t>今年以来我省水泥市场需求仍然较弱，水泥行业的产量、销量都有所下降。</w:t>
      </w:r>
    </w:p>
    <w:p w:rsidR="006F572C" w:rsidRDefault="00BD155E">
      <w:pPr>
        <w:spacing w:line="300" w:lineRule="exact"/>
        <w:ind w:firstLineChars="200" w:firstLine="560"/>
        <w:jc w:val="center"/>
        <w:rPr>
          <w:rFonts w:ascii="黑体" w:eastAsia="黑体" w:hAnsi="黑体" w:cs="仿宋"/>
          <w:sz w:val="28"/>
          <w:szCs w:val="28"/>
        </w:rPr>
      </w:pPr>
      <w:r>
        <w:rPr>
          <w:rFonts w:ascii="黑体" w:eastAsia="黑体" w:hAnsi="黑体" w:cs="仿宋" w:hint="eastAsia"/>
          <w:sz w:val="28"/>
          <w:szCs w:val="28"/>
        </w:rPr>
        <w:t>图二：2018年</w:t>
      </w:r>
      <w:r w:rsidR="002D2B75">
        <w:rPr>
          <w:rFonts w:ascii="黑体" w:eastAsia="黑体" w:hAnsi="黑体" w:cs="仿宋" w:hint="eastAsia"/>
          <w:sz w:val="28"/>
          <w:szCs w:val="28"/>
        </w:rPr>
        <w:t>1-12</w:t>
      </w:r>
      <w:r>
        <w:rPr>
          <w:rFonts w:ascii="黑体" w:eastAsia="黑体" w:hAnsi="黑体" w:cs="仿宋" w:hint="eastAsia"/>
          <w:sz w:val="28"/>
          <w:szCs w:val="28"/>
        </w:rPr>
        <w:t>月水泥累计产量排名前十位的省份</w:t>
      </w:r>
    </w:p>
    <w:p w:rsidR="006F572C" w:rsidRPr="002D2B75" w:rsidRDefault="002D2B75">
      <w:pPr>
        <w:rPr>
          <w:rFonts w:ascii="仿宋" w:eastAsia="仿宋" w:hAnsi="仿宋" w:cs="仿宋"/>
          <w:sz w:val="32"/>
          <w:szCs w:val="32"/>
        </w:rPr>
      </w:pPr>
      <w:r w:rsidRPr="002D2B75">
        <w:rPr>
          <w:rFonts w:ascii="仿宋" w:eastAsia="仿宋" w:hAnsi="仿宋" w:cs="仿宋"/>
          <w:noProof/>
          <w:sz w:val="32"/>
          <w:szCs w:val="32"/>
        </w:rPr>
        <w:drawing>
          <wp:inline distT="0" distB="0" distL="0" distR="0">
            <wp:extent cx="5637125" cy="2416629"/>
            <wp:effectExtent l="0" t="0" r="0" b="0"/>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F572C" w:rsidRDefault="00BD155E">
      <w:pPr>
        <w:spacing w:line="600" w:lineRule="exact"/>
        <w:jc w:val="center"/>
        <w:rPr>
          <w:rFonts w:ascii="黑体" w:eastAsia="黑体" w:hAnsi="黑体" w:cs="仿宋"/>
          <w:sz w:val="28"/>
          <w:szCs w:val="28"/>
        </w:rPr>
      </w:pPr>
      <w:r>
        <w:rPr>
          <w:rFonts w:ascii="黑体" w:eastAsia="黑体" w:hAnsi="黑体" w:cs="仿宋" w:hint="eastAsia"/>
          <w:sz w:val="28"/>
          <w:szCs w:val="28"/>
        </w:rPr>
        <w:lastRenderedPageBreak/>
        <w:t>图三：2018年1-</w:t>
      </w:r>
      <w:r w:rsidR="00891492">
        <w:rPr>
          <w:rFonts w:ascii="黑体" w:eastAsia="黑体" w:hAnsi="黑体" w:cs="仿宋" w:hint="eastAsia"/>
          <w:sz w:val="28"/>
          <w:szCs w:val="28"/>
        </w:rPr>
        <w:t>12</w:t>
      </w:r>
      <w:r>
        <w:rPr>
          <w:rFonts w:ascii="黑体" w:eastAsia="黑体" w:hAnsi="黑体" w:cs="仿宋" w:hint="eastAsia"/>
          <w:sz w:val="28"/>
          <w:szCs w:val="28"/>
        </w:rPr>
        <w:t>月全省水泥累计产量（万吨）和同比增长率</w:t>
      </w:r>
    </w:p>
    <w:p w:rsidR="006F572C" w:rsidRDefault="00891492" w:rsidP="00891492">
      <w:pPr>
        <w:jc w:val="center"/>
        <w:rPr>
          <w:rFonts w:ascii="仿宋" w:eastAsia="仿宋" w:hAnsi="仿宋"/>
          <w:sz w:val="30"/>
          <w:szCs w:val="30"/>
        </w:rPr>
      </w:pPr>
      <w:r w:rsidRPr="00891492">
        <w:rPr>
          <w:rFonts w:ascii="仿宋" w:eastAsia="仿宋" w:hAnsi="仿宋" w:hint="eastAsia"/>
          <w:noProof/>
          <w:sz w:val="30"/>
          <w:szCs w:val="30"/>
        </w:rPr>
        <w:drawing>
          <wp:inline distT="0" distB="0" distL="0" distR="0">
            <wp:extent cx="4568023" cy="2316145"/>
            <wp:effectExtent l="19050" t="0" r="3977" b="0"/>
            <wp:docPr id="19" name="图片 13"/>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0241"/>
                    <a:stretch>
                      <a:fillRect/>
                    </a:stretch>
                  </pic:blipFill>
                  <pic:spPr>
                    <a:xfrm>
                      <a:off x="0" y="0"/>
                      <a:ext cx="4568023" cy="2316145"/>
                    </a:xfrm>
                    <a:prstGeom prst="rect">
                      <a:avLst/>
                    </a:prstGeom>
                  </pic:spPr>
                </pic:pic>
              </a:graphicData>
            </a:graphic>
          </wp:inline>
        </w:drawing>
      </w:r>
    </w:p>
    <w:p w:rsidR="006F572C" w:rsidRDefault="00BD155E">
      <w:pPr>
        <w:jc w:val="center"/>
        <w:rPr>
          <w:rFonts w:ascii="仿宋" w:eastAsia="仿宋" w:hAnsi="仿宋"/>
          <w:sz w:val="30"/>
          <w:szCs w:val="30"/>
        </w:rPr>
      </w:pPr>
      <w:r>
        <w:rPr>
          <w:rFonts w:ascii="仿宋" w:eastAsia="仿宋" w:hAnsi="仿宋" w:hint="eastAsia"/>
          <w:b/>
          <w:bCs/>
          <w:sz w:val="30"/>
          <w:szCs w:val="30"/>
        </w:rPr>
        <w:t xml:space="preserve"> 表二：2018年1-1</w:t>
      </w:r>
      <w:r w:rsidR="00891492">
        <w:rPr>
          <w:rFonts w:ascii="仿宋" w:eastAsia="仿宋" w:hAnsi="仿宋" w:hint="eastAsia"/>
          <w:b/>
          <w:bCs/>
          <w:sz w:val="30"/>
          <w:szCs w:val="30"/>
        </w:rPr>
        <w:t>2</w:t>
      </w:r>
      <w:r>
        <w:rPr>
          <w:rFonts w:ascii="仿宋" w:eastAsia="仿宋" w:hAnsi="仿宋" w:hint="eastAsia"/>
          <w:b/>
          <w:bCs/>
          <w:sz w:val="30"/>
          <w:szCs w:val="30"/>
        </w:rPr>
        <w:t>月河南周边省份的水泥产量情况</w:t>
      </w: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6"/>
        <w:gridCol w:w="2574"/>
        <w:gridCol w:w="3060"/>
      </w:tblGrid>
      <w:tr w:rsidR="006F572C">
        <w:trPr>
          <w:trHeight w:hRule="exact" w:val="367"/>
          <w:jc w:val="center"/>
        </w:trPr>
        <w:tc>
          <w:tcPr>
            <w:tcW w:w="2976" w:type="dxa"/>
            <w:shd w:val="clear" w:color="000000" w:fill="948B54"/>
            <w:vAlign w:val="center"/>
          </w:tcPr>
          <w:p w:rsidR="006F572C" w:rsidRDefault="00BD155E">
            <w:pPr>
              <w:spacing w:line="280" w:lineRule="exact"/>
              <w:jc w:val="center"/>
              <w:rPr>
                <w:rFonts w:ascii="仿宋" w:eastAsia="仿宋" w:hAnsi="仿宋"/>
                <w:b/>
                <w:sz w:val="30"/>
                <w:szCs w:val="30"/>
              </w:rPr>
            </w:pPr>
            <w:r>
              <w:rPr>
                <w:rFonts w:ascii="仿宋" w:eastAsia="仿宋" w:hAnsi="仿宋" w:hint="eastAsia"/>
                <w:b/>
                <w:sz w:val="30"/>
                <w:szCs w:val="30"/>
              </w:rPr>
              <w:t>省  份</w:t>
            </w:r>
          </w:p>
        </w:tc>
        <w:tc>
          <w:tcPr>
            <w:tcW w:w="2574" w:type="dxa"/>
            <w:shd w:val="clear" w:color="000000" w:fill="948B54"/>
            <w:vAlign w:val="center"/>
          </w:tcPr>
          <w:p w:rsidR="006F572C" w:rsidRDefault="00BD155E">
            <w:pPr>
              <w:spacing w:line="280" w:lineRule="exact"/>
              <w:jc w:val="center"/>
              <w:rPr>
                <w:rFonts w:ascii="仿宋" w:eastAsia="仿宋" w:hAnsi="仿宋"/>
                <w:b/>
                <w:sz w:val="30"/>
                <w:szCs w:val="30"/>
              </w:rPr>
            </w:pPr>
            <w:r>
              <w:rPr>
                <w:rFonts w:ascii="仿宋" w:eastAsia="仿宋" w:hAnsi="仿宋" w:hint="eastAsia"/>
                <w:b/>
                <w:sz w:val="30"/>
                <w:szCs w:val="30"/>
              </w:rPr>
              <w:t>产量（万吨）</w:t>
            </w:r>
          </w:p>
        </w:tc>
        <w:tc>
          <w:tcPr>
            <w:tcW w:w="3060" w:type="dxa"/>
            <w:shd w:val="clear" w:color="000000" w:fill="948B54"/>
            <w:vAlign w:val="center"/>
          </w:tcPr>
          <w:p w:rsidR="006F572C" w:rsidRDefault="00BD155E">
            <w:pPr>
              <w:spacing w:line="280" w:lineRule="exact"/>
              <w:jc w:val="center"/>
              <w:rPr>
                <w:rFonts w:ascii="仿宋" w:eastAsia="仿宋" w:hAnsi="仿宋"/>
                <w:b/>
                <w:sz w:val="30"/>
                <w:szCs w:val="30"/>
              </w:rPr>
            </w:pPr>
            <w:r>
              <w:rPr>
                <w:rFonts w:ascii="仿宋" w:eastAsia="仿宋" w:hAnsi="仿宋" w:hint="eastAsia"/>
                <w:b/>
                <w:sz w:val="30"/>
                <w:szCs w:val="30"/>
              </w:rPr>
              <w:t>增长率</w:t>
            </w:r>
          </w:p>
        </w:tc>
      </w:tr>
      <w:tr w:rsidR="006F572C">
        <w:trPr>
          <w:trHeight w:hRule="exact" w:val="367"/>
          <w:jc w:val="center"/>
        </w:trPr>
        <w:tc>
          <w:tcPr>
            <w:tcW w:w="2976" w:type="dxa"/>
            <w:shd w:val="clear" w:color="000000" w:fill="FFFFFF"/>
            <w:vAlign w:val="center"/>
          </w:tcPr>
          <w:p w:rsidR="006F572C" w:rsidRDefault="00BD155E">
            <w:pPr>
              <w:spacing w:line="280" w:lineRule="exact"/>
              <w:jc w:val="center"/>
              <w:rPr>
                <w:rFonts w:ascii="仿宋" w:eastAsia="仿宋" w:hAnsi="仿宋"/>
                <w:sz w:val="30"/>
                <w:szCs w:val="30"/>
              </w:rPr>
            </w:pPr>
            <w:r>
              <w:rPr>
                <w:rFonts w:ascii="仿宋" w:eastAsia="仿宋" w:hAnsi="仿宋" w:hint="eastAsia"/>
                <w:sz w:val="30"/>
                <w:szCs w:val="30"/>
              </w:rPr>
              <w:t>河南省</w:t>
            </w:r>
          </w:p>
        </w:tc>
        <w:tc>
          <w:tcPr>
            <w:tcW w:w="2574" w:type="dxa"/>
            <w:shd w:val="clear" w:color="000000" w:fill="FFFFFF"/>
            <w:vAlign w:val="center"/>
          </w:tcPr>
          <w:p w:rsidR="006F572C" w:rsidRDefault="00891492">
            <w:pPr>
              <w:spacing w:line="280" w:lineRule="exact"/>
              <w:jc w:val="center"/>
              <w:rPr>
                <w:rFonts w:ascii="仿宋" w:eastAsia="仿宋" w:hAnsi="仿宋"/>
                <w:sz w:val="30"/>
                <w:szCs w:val="30"/>
              </w:rPr>
            </w:pPr>
            <w:r>
              <w:rPr>
                <w:rFonts w:ascii="仿宋" w:eastAsia="仿宋" w:hAnsi="仿宋" w:hint="eastAsia"/>
                <w:sz w:val="30"/>
                <w:szCs w:val="30"/>
              </w:rPr>
              <w:t>10964.97</w:t>
            </w:r>
          </w:p>
        </w:tc>
        <w:tc>
          <w:tcPr>
            <w:tcW w:w="3060" w:type="dxa"/>
            <w:shd w:val="clear" w:color="000000" w:fill="FFFFFF"/>
            <w:vAlign w:val="center"/>
          </w:tcPr>
          <w:p w:rsidR="006F572C" w:rsidRDefault="00891492">
            <w:pPr>
              <w:spacing w:line="280" w:lineRule="exact"/>
              <w:jc w:val="center"/>
              <w:rPr>
                <w:rFonts w:ascii="仿宋" w:eastAsia="仿宋" w:hAnsi="仿宋"/>
                <w:sz w:val="30"/>
                <w:szCs w:val="30"/>
              </w:rPr>
            </w:pPr>
            <w:r>
              <w:rPr>
                <w:rFonts w:ascii="仿宋" w:eastAsia="仿宋" w:hAnsi="仿宋" w:hint="eastAsia"/>
                <w:sz w:val="30"/>
                <w:szCs w:val="30"/>
              </w:rPr>
              <w:t>5.21</w:t>
            </w:r>
          </w:p>
        </w:tc>
      </w:tr>
      <w:tr w:rsidR="006F572C">
        <w:trPr>
          <w:trHeight w:hRule="exact" w:val="367"/>
          <w:jc w:val="center"/>
        </w:trPr>
        <w:tc>
          <w:tcPr>
            <w:tcW w:w="2976" w:type="dxa"/>
            <w:shd w:val="clear" w:color="000000" w:fill="C5BE97"/>
            <w:vAlign w:val="center"/>
          </w:tcPr>
          <w:p w:rsidR="006F572C" w:rsidRDefault="00BD155E">
            <w:pPr>
              <w:spacing w:line="280" w:lineRule="exact"/>
              <w:jc w:val="center"/>
              <w:rPr>
                <w:rFonts w:ascii="仿宋" w:eastAsia="仿宋" w:hAnsi="仿宋"/>
                <w:sz w:val="30"/>
                <w:szCs w:val="30"/>
              </w:rPr>
            </w:pPr>
            <w:r>
              <w:rPr>
                <w:rFonts w:ascii="仿宋" w:eastAsia="仿宋" w:hAnsi="仿宋" w:hint="eastAsia"/>
                <w:sz w:val="30"/>
                <w:szCs w:val="30"/>
              </w:rPr>
              <w:t>河北省</w:t>
            </w:r>
          </w:p>
        </w:tc>
        <w:tc>
          <w:tcPr>
            <w:tcW w:w="2574" w:type="dxa"/>
            <w:shd w:val="clear" w:color="000000" w:fill="C5BE97"/>
            <w:vAlign w:val="center"/>
          </w:tcPr>
          <w:p w:rsidR="006F572C" w:rsidRDefault="00891492">
            <w:pPr>
              <w:spacing w:line="280" w:lineRule="exact"/>
              <w:jc w:val="center"/>
              <w:rPr>
                <w:rFonts w:ascii="仿宋" w:eastAsia="仿宋" w:hAnsi="仿宋"/>
                <w:sz w:val="30"/>
                <w:szCs w:val="30"/>
              </w:rPr>
            </w:pPr>
            <w:r>
              <w:rPr>
                <w:rFonts w:ascii="仿宋" w:eastAsia="仿宋" w:hAnsi="仿宋" w:hint="eastAsia"/>
                <w:sz w:val="30"/>
                <w:szCs w:val="30"/>
              </w:rPr>
              <w:t>8936.03</w:t>
            </w:r>
          </w:p>
        </w:tc>
        <w:tc>
          <w:tcPr>
            <w:tcW w:w="3060" w:type="dxa"/>
            <w:shd w:val="clear" w:color="000000" w:fill="C5BE97"/>
            <w:vAlign w:val="center"/>
          </w:tcPr>
          <w:p w:rsidR="006F572C" w:rsidRDefault="00891492">
            <w:pPr>
              <w:spacing w:line="280" w:lineRule="exact"/>
              <w:jc w:val="center"/>
              <w:rPr>
                <w:rFonts w:ascii="仿宋" w:eastAsia="仿宋" w:hAnsi="仿宋"/>
                <w:sz w:val="30"/>
                <w:szCs w:val="30"/>
              </w:rPr>
            </w:pPr>
            <w:r>
              <w:rPr>
                <w:rFonts w:ascii="仿宋" w:eastAsia="仿宋" w:hAnsi="仿宋" w:hint="eastAsia"/>
                <w:sz w:val="30"/>
                <w:szCs w:val="30"/>
              </w:rPr>
              <w:t>8.03</w:t>
            </w:r>
          </w:p>
        </w:tc>
      </w:tr>
      <w:tr w:rsidR="006F572C">
        <w:trPr>
          <w:trHeight w:hRule="exact" w:val="367"/>
          <w:jc w:val="center"/>
        </w:trPr>
        <w:tc>
          <w:tcPr>
            <w:tcW w:w="2976" w:type="dxa"/>
            <w:shd w:val="clear" w:color="auto" w:fill="auto"/>
            <w:vAlign w:val="center"/>
          </w:tcPr>
          <w:p w:rsidR="006F572C" w:rsidRDefault="00BD155E">
            <w:pPr>
              <w:spacing w:line="280" w:lineRule="exact"/>
              <w:jc w:val="center"/>
              <w:rPr>
                <w:rFonts w:ascii="仿宋" w:eastAsia="仿宋" w:hAnsi="仿宋"/>
                <w:sz w:val="30"/>
                <w:szCs w:val="30"/>
              </w:rPr>
            </w:pPr>
            <w:r>
              <w:rPr>
                <w:rFonts w:ascii="仿宋" w:eastAsia="仿宋" w:hAnsi="仿宋" w:hint="eastAsia"/>
                <w:sz w:val="30"/>
                <w:szCs w:val="30"/>
              </w:rPr>
              <w:t>陕西省</w:t>
            </w:r>
          </w:p>
        </w:tc>
        <w:tc>
          <w:tcPr>
            <w:tcW w:w="2574" w:type="dxa"/>
            <w:shd w:val="clear" w:color="auto" w:fill="auto"/>
            <w:vAlign w:val="center"/>
          </w:tcPr>
          <w:p w:rsidR="006F572C" w:rsidRDefault="00891492">
            <w:pPr>
              <w:spacing w:line="280" w:lineRule="exact"/>
              <w:jc w:val="center"/>
              <w:rPr>
                <w:rFonts w:ascii="仿宋" w:eastAsia="仿宋" w:hAnsi="仿宋"/>
                <w:sz w:val="30"/>
                <w:szCs w:val="30"/>
              </w:rPr>
            </w:pPr>
            <w:r>
              <w:rPr>
                <w:rFonts w:ascii="仿宋" w:eastAsia="仿宋" w:hAnsi="仿宋" w:hint="eastAsia"/>
                <w:sz w:val="30"/>
                <w:szCs w:val="30"/>
              </w:rPr>
              <w:t>6270.83</w:t>
            </w:r>
          </w:p>
        </w:tc>
        <w:tc>
          <w:tcPr>
            <w:tcW w:w="3060" w:type="dxa"/>
            <w:shd w:val="clear" w:color="auto" w:fill="auto"/>
            <w:vAlign w:val="center"/>
          </w:tcPr>
          <w:p w:rsidR="006F572C" w:rsidRDefault="00BD155E" w:rsidP="00891492">
            <w:pPr>
              <w:spacing w:line="280" w:lineRule="exact"/>
              <w:jc w:val="center"/>
              <w:rPr>
                <w:rFonts w:ascii="仿宋" w:eastAsia="仿宋" w:hAnsi="仿宋"/>
                <w:sz w:val="30"/>
                <w:szCs w:val="30"/>
              </w:rPr>
            </w:pPr>
            <w:r>
              <w:rPr>
                <w:rFonts w:ascii="仿宋" w:eastAsia="仿宋" w:hAnsi="仿宋" w:hint="eastAsia"/>
                <w:sz w:val="30"/>
                <w:szCs w:val="30"/>
              </w:rPr>
              <w:t>-</w:t>
            </w:r>
            <w:r w:rsidR="00891492">
              <w:rPr>
                <w:rFonts w:ascii="仿宋" w:eastAsia="仿宋" w:hAnsi="仿宋" w:hint="eastAsia"/>
                <w:sz w:val="30"/>
                <w:szCs w:val="30"/>
              </w:rPr>
              <w:t>0.01</w:t>
            </w:r>
          </w:p>
        </w:tc>
      </w:tr>
      <w:tr w:rsidR="006F572C">
        <w:trPr>
          <w:trHeight w:hRule="exact" w:val="367"/>
          <w:jc w:val="center"/>
        </w:trPr>
        <w:tc>
          <w:tcPr>
            <w:tcW w:w="2976" w:type="dxa"/>
            <w:tcBorders>
              <w:bottom w:val="single" w:sz="4" w:space="0" w:color="auto"/>
            </w:tcBorders>
            <w:shd w:val="clear" w:color="000000" w:fill="C5BE97"/>
            <w:vAlign w:val="center"/>
          </w:tcPr>
          <w:p w:rsidR="006F572C" w:rsidRDefault="00BD155E">
            <w:pPr>
              <w:spacing w:line="320" w:lineRule="exact"/>
              <w:jc w:val="center"/>
              <w:rPr>
                <w:rFonts w:ascii="仿宋" w:eastAsia="仿宋" w:hAnsi="仿宋"/>
                <w:sz w:val="30"/>
                <w:szCs w:val="30"/>
              </w:rPr>
            </w:pPr>
            <w:r>
              <w:rPr>
                <w:rFonts w:ascii="仿宋" w:eastAsia="仿宋" w:hAnsi="仿宋" w:hint="eastAsia"/>
                <w:sz w:val="30"/>
                <w:szCs w:val="30"/>
              </w:rPr>
              <w:t>山西省</w:t>
            </w:r>
          </w:p>
        </w:tc>
        <w:tc>
          <w:tcPr>
            <w:tcW w:w="2574" w:type="dxa"/>
            <w:tcBorders>
              <w:bottom w:val="single" w:sz="4" w:space="0" w:color="auto"/>
            </w:tcBorders>
            <w:shd w:val="clear" w:color="000000" w:fill="C5BE97"/>
            <w:vAlign w:val="center"/>
          </w:tcPr>
          <w:p w:rsidR="006F572C" w:rsidRDefault="00891492">
            <w:pPr>
              <w:spacing w:line="280" w:lineRule="exact"/>
              <w:jc w:val="center"/>
              <w:rPr>
                <w:rFonts w:ascii="仿宋" w:eastAsia="仿宋" w:hAnsi="仿宋"/>
                <w:sz w:val="30"/>
                <w:szCs w:val="30"/>
              </w:rPr>
            </w:pPr>
            <w:r>
              <w:rPr>
                <w:rFonts w:ascii="仿宋" w:eastAsia="仿宋" w:hAnsi="仿宋" w:hint="eastAsia"/>
                <w:sz w:val="30"/>
                <w:szCs w:val="30"/>
              </w:rPr>
              <w:t>4127.26</w:t>
            </w:r>
          </w:p>
        </w:tc>
        <w:tc>
          <w:tcPr>
            <w:tcW w:w="3060" w:type="dxa"/>
            <w:tcBorders>
              <w:bottom w:val="single" w:sz="4" w:space="0" w:color="auto"/>
            </w:tcBorders>
            <w:shd w:val="clear" w:color="000000" w:fill="C5BE97"/>
            <w:vAlign w:val="center"/>
          </w:tcPr>
          <w:p w:rsidR="006F572C" w:rsidRDefault="00891492">
            <w:pPr>
              <w:spacing w:line="280" w:lineRule="exact"/>
              <w:jc w:val="center"/>
              <w:rPr>
                <w:rFonts w:ascii="仿宋" w:eastAsia="仿宋" w:hAnsi="仿宋"/>
                <w:sz w:val="30"/>
                <w:szCs w:val="30"/>
              </w:rPr>
            </w:pPr>
            <w:r>
              <w:rPr>
                <w:rFonts w:ascii="仿宋" w:eastAsia="仿宋" w:hAnsi="仿宋" w:hint="eastAsia"/>
                <w:sz w:val="30"/>
                <w:szCs w:val="30"/>
              </w:rPr>
              <w:t>15.66</w:t>
            </w:r>
          </w:p>
        </w:tc>
      </w:tr>
      <w:tr w:rsidR="006F572C">
        <w:trPr>
          <w:trHeight w:hRule="exact" w:val="367"/>
          <w:jc w:val="center"/>
        </w:trPr>
        <w:tc>
          <w:tcPr>
            <w:tcW w:w="2976" w:type="dxa"/>
            <w:shd w:val="clear" w:color="000000" w:fill="FFFFFF" w:themeFill="background1"/>
            <w:vAlign w:val="center"/>
          </w:tcPr>
          <w:p w:rsidR="006F572C" w:rsidRDefault="00BD155E">
            <w:pPr>
              <w:spacing w:line="280" w:lineRule="exact"/>
              <w:jc w:val="center"/>
              <w:rPr>
                <w:rFonts w:ascii="仿宋" w:eastAsia="仿宋" w:hAnsi="仿宋"/>
                <w:sz w:val="30"/>
                <w:szCs w:val="30"/>
              </w:rPr>
            </w:pPr>
            <w:r>
              <w:rPr>
                <w:rFonts w:ascii="仿宋" w:eastAsia="仿宋" w:hAnsi="仿宋" w:hint="eastAsia"/>
                <w:sz w:val="30"/>
                <w:szCs w:val="30"/>
              </w:rPr>
              <w:t>湖北省</w:t>
            </w:r>
          </w:p>
        </w:tc>
        <w:tc>
          <w:tcPr>
            <w:tcW w:w="2574" w:type="dxa"/>
            <w:shd w:val="clear" w:color="000000" w:fill="FFFFFF" w:themeFill="background1"/>
            <w:vAlign w:val="center"/>
          </w:tcPr>
          <w:p w:rsidR="006F572C" w:rsidRDefault="00891492">
            <w:pPr>
              <w:spacing w:line="280" w:lineRule="exact"/>
              <w:jc w:val="center"/>
              <w:rPr>
                <w:rFonts w:ascii="仿宋" w:eastAsia="仿宋" w:hAnsi="仿宋"/>
                <w:sz w:val="30"/>
                <w:szCs w:val="30"/>
              </w:rPr>
            </w:pPr>
            <w:r>
              <w:rPr>
                <w:rFonts w:ascii="仿宋" w:eastAsia="仿宋" w:hAnsi="仿宋" w:hint="eastAsia"/>
                <w:sz w:val="30"/>
                <w:szCs w:val="30"/>
              </w:rPr>
              <w:t>10690.23</w:t>
            </w:r>
          </w:p>
        </w:tc>
        <w:tc>
          <w:tcPr>
            <w:tcW w:w="3060" w:type="dxa"/>
            <w:shd w:val="clear" w:color="000000" w:fill="FFFFFF" w:themeFill="background1"/>
            <w:vAlign w:val="center"/>
          </w:tcPr>
          <w:p w:rsidR="006F572C" w:rsidRDefault="00BD155E" w:rsidP="00891492">
            <w:pPr>
              <w:spacing w:line="280" w:lineRule="exact"/>
              <w:jc w:val="center"/>
              <w:rPr>
                <w:rFonts w:ascii="仿宋" w:eastAsia="仿宋" w:hAnsi="仿宋"/>
                <w:sz w:val="30"/>
                <w:szCs w:val="30"/>
              </w:rPr>
            </w:pPr>
            <w:r>
              <w:rPr>
                <w:rFonts w:ascii="仿宋" w:eastAsia="仿宋" w:hAnsi="仿宋" w:hint="eastAsia"/>
                <w:sz w:val="30"/>
                <w:szCs w:val="30"/>
              </w:rPr>
              <w:t>0.</w:t>
            </w:r>
            <w:r w:rsidR="00891492">
              <w:rPr>
                <w:rFonts w:ascii="仿宋" w:eastAsia="仿宋" w:hAnsi="仿宋" w:hint="eastAsia"/>
                <w:sz w:val="30"/>
                <w:szCs w:val="30"/>
              </w:rPr>
              <w:t>61</w:t>
            </w:r>
          </w:p>
        </w:tc>
      </w:tr>
      <w:tr w:rsidR="006F572C">
        <w:trPr>
          <w:trHeight w:hRule="exact" w:val="367"/>
          <w:jc w:val="center"/>
        </w:trPr>
        <w:tc>
          <w:tcPr>
            <w:tcW w:w="2976" w:type="dxa"/>
            <w:shd w:val="clear" w:color="000000" w:fill="C5BE97"/>
            <w:vAlign w:val="center"/>
          </w:tcPr>
          <w:p w:rsidR="006F572C" w:rsidRDefault="00BD155E">
            <w:pPr>
              <w:spacing w:line="280" w:lineRule="exact"/>
              <w:jc w:val="center"/>
              <w:rPr>
                <w:rFonts w:ascii="仿宋" w:eastAsia="仿宋" w:hAnsi="仿宋"/>
                <w:sz w:val="30"/>
                <w:szCs w:val="30"/>
              </w:rPr>
            </w:pPr>
            <w:r>
              <w:rPr>
                <w:rFonts w:ascii="仿宋" w:eastAsia="仿宋" w:hAnsi="仿宋" w:hint="eastAsia"/>
                <w:sz w:val="30"/>
                <w:szCs w:val="30"/>
              </w:rPr>
              <w:t>山东省</w:t>
            </w:r>
          </w:p>
        </w:tc>
        <w:tc>
          <w:tcPr>
            <w:tcW w:w="2574" w:type="dxa"/>
            <w:shd w:val="clear" w:color="000000" w:fill="C5BE97"/>
            <w:vAlign w:val="center"/>
          </w:tcPr>
          <w:p w:rsidR="006F572C" w:rsidRDefault="00891492">
            <w:pPr>
              <w:spacing w:line="280" w:lineRule="exact"/>
              <w:jc w:val="center"/>
              <w:rPr>
                <w:rFonts w:ascii="仿宋" w:eastAsia="仿宋" w:hAnsi="仿宋"/>
                <w:sz w:val="30"/>
                <w:szCs w:val="30"/>
              </w:rPr>
            </w:pPr>
            <w:r>
              <w:rPr>
                <w:rFonts w:ascii="仿宋" w:eastAsia="仿宋" w:hAnsi="仿宋" w:hint="eastAsia"/>
                <w:sz w:val="30"/>
                <w:szCs w:val="30"/>
              </w:rPr>
              <w:t>12280.24</w:t>
            </w:r>
          </w:p>
        </w:tc>
        <w:tc>
          <w:tcPr>
            <w:tcW w:w="3060" w:type="dxa"/>
            <w:shd w:val="clear" w:color="000000" w:fill="C5BE97"/>
            <w:vAlign w:val="center"/>
          </w:tcPr>
          <w:p w:rsidR="006F572C" w:rsidRDefault="00BD155E" w:rsidP="00891492">
            <w:pPr>
              <w:spacing w:line="280" w:lineRule="exact"/>
              <w:jc w:val="center"/>
              <w:rPr>
                <w:rFonts w:ascii="仿宋" w:eastAsia="仿宋" w:hAnsi="仿宋"/>
                <w:sz w:val="30"/>
                <w:szCs w:val="30"/>
              </w:rPr>
            </w:pPr>
            <w:r>
              <w:rPr>
                <w:rFonts w:ascii="仿宋" w:eastAsia="仿宋" w:hAnsi="仿宋" w:hint="eastAsia"/>
                <w:sz w:val="30"/>
                <w:szCs w:val="30"/>
              </w:rPr>
              <w:t>-</w:t>
            </w:r>
            <w:r w:rsidR="00891492">
              <w:rPr>
                <w:rFonts w:ascii="仿宋" w:eastAsia="仿宋" w:hAnsi="仿宋" w:hint="eastAsia"/>
                <w:sz w:val="30"/>
                <w:szCs w:val="30"/>
              </w:rPr>
              <w:t>0.7</w:t>
            </w:r>
          </w:p>
        </w:tc>
      </w:tr>
    </w:tbl>
    <w:p w:rsidR="006F572C" w:rsidRDefault="00BD155E">
      <w:pPr>
        <w:ind w:firstLineChars="250" w:firstLine="800"/>
        <w:rPr>
          <w:rFonts w:ascii="仿宋" w:eastAsia="仿宋" w:hAnsi="仿宋"/>
          <w:sz w:val="32"/>
          <w:szCs w:val="32"/>
        </w:rPr>
      </w:pPr>
      <w:r>
        <w:rPr>
          <w:rFonts w:ascii="仿宋" w:eastAsia="仿宋" w:hAnsi="仿宋" w:hint="eastAsia"/>
          <w:sz w:val="32"/>
          <w:szCs w:val="32"/>
        </w:rPr>
        <w:t>2018年10月9日河南省污染防治攻坚战领导小组办公室印发了《关于印发河南省2018-2019年秋冬季大气污染综合治理攻坚行动方案的通知》，随后下发了《河南省重点行业差异化错峰生产指导意见的通知》(豫环攻坚办〔2018〕15号)通知，建材行业主要包括水泥（含特种水泥，不含粉磨站和粉磨工序）、砖瓦窑、陶瓷、石膏板、耐材等企业，对达到相关行业规定排放限值要求，完成《河南省2018年工业大气污染治理专项方案》（豫环攻坚办〔2018〕87号）规定的生产、运输、储存无组织排放治理要求的建材企业，并按规范安装在线监控设施的，实施差异化错峰生产。对不</w:t>
      </w:r>
      <w:r>
        <w:rPr>
          <w:rFonts w:ascii="仿宋" w:eastAsia="仿宋" w:hAnsi="仿宋" w:hint="eastAsia"/>
          <w:sz w:val="32"/>
          <w:szCs w:val="32"/>
        </w:rPr>
        <w:lastRenderedPageBreak/>
        <w:t xml:space="preserve">符合污染防治要求的，依法依规查处，并实施限期整改，整改完成后，按规定要求实施错峰生产。通知明确指出：      </w:t>
      </w:r>
    </w:p>
    <w:p w:rsidR="006F572C" w:rsidRDefault="00BD155E">
      <w:pPr>
        <w:numPr>
          <w:ilvl w:val="0"/>
          <w:numId w:val="1"/>
        </w:numPr>
        <w:ind w:firstLineChars="200" w:firstLine="640"/>
        <w:rPr>
          <w:rFonts w:ascii="仿宋" w:eastAsia="仿宋" w:hAnsi="仿宋"/>
          <w:sz w:val="32"/>
          <w:szCs w:val="32"/>
        </w:rPr>
      </w:pPr>
      <w:r>
        <w:rPr>
          <w:rFonts w:ascii="仿宋" w:eastAsia="仿宋" w:hAnsi="仿宋" w:hint="eastAsia"/>
          <w:sz w:val="32"/>
          <w:szCs w:val="32"/>
        </w:rPr>
        <w:t>豁免类。达到超低排放（水泥窑废气颗粒物、二氧化硫、氮氧化物排放浓度分别不高于10毫克/立方米、35毫克/立方米、100毫克/立方米），附属矿山达到绿色矿山要求的水泥企业免于错峰停产。</w:t>
      </w:r>
    </w:p>
    <w:p w:rsidR="006F572C" w:rsidRDefault="00BD155E">
      <w:pPr>
        <w:numPr>
          <w:ilvl w:val="0"/>
          <w:numId w:val="1"/>
        </w:numPr>
        <w:ind w:firstLineChars="200" w:firstLine="640"/>
        <w:rPr>
          <w:rFonts w:ascii="仿宋" w:eastAsia="仿宋" w:hAnsi="仿宋"/>
          <w:sz w:val="32"/>
          <w:szCs w:val="32"/>
        </w:rPr>
      </w:pPr>
      <w:r>
        <w:rPr>
          <w:rFonts w:ascii="仿宋" w:eastAsia="仿宋" w:hAnsi="仿宋" w:hint="eastAsia"/>
          <w:sz w:val="32"/>
          <w:szCs w:val="32"/>
        </w:rPr>
        <w:t>限产类。达到超低排放（水泥窑废气颗粒物、二氧化硫、氮氧化物排放浓度分别不高于10毫克/立方米、35毫克/立方米、100毫克/立方米）的水泥企业，豁免2019年1－2月份免于错峰停产。</w:t>
      </w:r>
    </w:p>
    <w:p w:rsidR="006F572C" w:rsidRDefault="00BD155E" w:rsidP="002D2B75">
      <w:pPr>
        <w:ind w:leftChars="200" w:left="420" w:firstLineChars="100" w:firstLine="320"/>
        <w:rPr>
          <w:rFonts w:ascii="仿宋" w:eastAsia="仿宋" w:hAnsi="仿宋"/>
          <w:sz w:val="32"/>
          <w:szCs w:val="32"/>
        </w:rPr>
      </w:pPr>
      <w:r>
        <w:rPr>
          <w:rFonts w:ascii="仿宋" w:eastAsia="仿宋" w:hAnsi="仿宋" w:hint="eastAsia"/>
          <w:sz w:val="32"/>
          <w:szCs w:val="32"/>
        </w:rPr>
        <w:t>3.限制类。豁免类和限产类以外的建材企业，原则上实</w:t>
      </w:r>
    </w:p>
    <w:p w:rsidR="006F572C" w:rsidRDefault="00BD155E">
      <w:pPr>
        <w:rPr>
          <w:rFonts w:ascii="仿宋" w:eastAsia="仿宋" w:hAnsi="仿宋"/>
          <w:sz w:val="32"/>
          <w:szCs w:val="32"/>
        </w:rPr>
      </w:pPr>
      <w:r>
        <w:rPr>
          <w:rFonts w:ascii="仿宋" w:eastAsia="仿宋" w:hAnsi="仿宋" w:hint="eastAsia"/>
          <w:sz w:val="32"/>
          <w:szCs w:val="32"/>
        </w:rPr>
        <w:t>施停产。</w:t>
      </w:r>
    </w:p>
    <w:p w:rsidR="006F572C" w:rsidRDefault="00BD155E">
      <w:pPr>
        <w:ind w:firstLineChars="200" w:firstLine="640"/>
        <w:rPr>
          <w:rFonts w:ascii="仿宋" w:eastAsia="仿宋" w:hAnsi="仿宋"/>
          <w:sz w:val="32"/>
          <w:szCs w:val="32"/>
        </w:rPr>
      </w:pPr>
      <w:r>
        <w:rPr>
          <w:rFonts w:ascii="仿宋" w:eastAsia="仿宋" w:hAnsi="仿宋" w:hint="eastAsia"/>
          <w:sz w:val="32"/>
          <w:szCs w:val="32"/>
        </w:rPr>
        <w:t>通知还明确，承担居民供暖、协同处置城市生活垃圾或危险废物等保民生任务的水泥企业，要根据承担任务量核定最大允许生产负荷；承担居民供暖水泥企业采暖季结束后补停相应时间。对位于城市建成区的建材企业，可加严一级错峰限产要求。</w:t>
      </w:r>
    </w:p>
    <w:p w:rsidR="006F572C" w:rsidRDefault="00BD155E">
      <w:pPr>
        <w:ind w:firstLineChars="250" w:firstLine="800"/>
        <w:rPr>
          <w:rFonts w:ascii="仿宋" w:eastAsia="仿宋" w:hAnsi="仿宋"/>
          <w:sz w:val="32"/>
          <w:szCs w:val="32"/>
        </w:rPr>
      </w:pPr>
      <w:r>
        <w:rPr>
          <w:rFonts w:ascii="仿宋" w:eastAsia="仿宋" w:hAnsi="仿宋" w:hint="eastAsia"/>
          <w:sz w:val="32"/>
          <w:szCs w:val="32"/>
        </w:rPr>
        <w:t>从各地市下发的文件来看，虽然也存在着执行标准不一，但从11月15日到12月31日全省75条熟料生产线，停窑率达到了80%。随着国家供给侧结构性改革不断深入，加之环境治理力度不断提高，对环保不达标的企业实行了停产、限产等措施影响了水泥产能的发挥，使得市场供需关系</w:t>
      </w:r>
      <w:r>
        <w:rPr>
          <w:rFonts w:ascii="仿宋" w:eastAsia="仿宋" w:hAnsi="仿宋" w:hint="eastAsia"/>
          <w:sz w:val="32"/>
          <w:szCs w:val="32"/>
        </w:rPr>
        <w:lastRenderedPageBreak/>
        <w:t>得到了改善，也使得行业价值得以理性的回归。</w:t>
      </w:r>
    </w:p>
    <w:p w:rsidR="006F572C" w:rsidRDefault="00BD155E">
      <w:pPr>
        <w:ind w:firstLineChars="200" w:firstLine="640"/>
        <w:rPr>
          <w:rFonts w:ascii="仿宋" w:eastAsia="仿宋" w:hAnsi="仿宋"/>
          <w:sz w:val="32"/>
          <w:szCs w:val="32"/>
        </w:rPr>
      </w:pPr>
      <w:r>
        <w:rPr>
          <w:rFonts w:ascii="仿宋" w:eastAsia="仿宋" w:hAnsi="仿宋" w:hint="eastAsia"/>
          <w:sz w:val="32"/>
          <w:szCs w:val="32"/>
        </w:rPr>
        <w:t>2019年我省水泥工业运行状况将和市场供需情况密切相联，取决于错峰生产活动能否正常开展、去产能工作能否有效开展、兼并重组工作能否深入开展等等因素。近期从省政府相关部门获悉，2019年全省高速将继续按照“企业主体、市场运作、多元投资、规范经营”的原则，在投资建设模式的创新上下功夫，实施高速公路“双千工程”，计划开工14个高速公路项目，总里程1002公里、总投资1086亿元。这对水泥行业是个利好消息。预计2019年我省水泥工业</w:t>
      </w:r>
      <w:r>
        <w:rPr>
          <w:rFonts w:ascii="仿宋" w:eastAsia="仿宋" w:hAnsi="仿宋" w:hint="eastAsia"/>
          <w:sz w:val="32"/>
          <w:szCs w:val="32"/>
          <w:shd w:val="clear" w:color="auto" w:fill="FFFFFF"/>
        </w:rPr>
        <w:t>总体将保持平稳的运行态势。</w:t>
      </w:r>
    </w:p>
    <w:p w:rsidR="006F572C" w:rsidRDefault="00BD155E" w:rsidP="00626FF8">
      <w:pPr>
        <w:pStyle w:val="p0"/>
        <w:spacing w:afterLines="30"/>
        <w:ind w:firstLineChars="200" w:firstLine="643"/>
        <w:outlineLvl w:val="0"/>
        <w:rPr>
          <w:rFonts w:ascii="仿宋" w:eastAsia="仿宋" w:hAnsi="仿宋"/>
          <w:b/>
          <w:sz w:val="32"/>
          <w:szCs w:val="32"/>
        </w:rPr>
      </w:pPr>
      <w:r>
        <w:rPr>
          <w:rFonts w:ascii="仿宋" w:eastAsia="仿宋" w:hAnsi="仿宋" w:hint="eastAsia"/>
          <w:b/>
          <w:sz w:val="32"/>
          <w:szCs w:val="32"/>
        </w:rPr>
        <w:t>二、全省混凝土与水泥制品工业运行情况</w:t>
      </w:r>
    </w:p>
    <w:p w:rsidR="006F572C" w:rsidRDefault="00BD155E">
      <w:pPr>
        <w:widowControl/>
        <w:ind w:firstLineChars="200" w:firstLine="640"/>
        <w:rPr>
          <w:rFonts w:ascii="仿宋" w:eastAsia="仿宋" w:hAnsi="仿宋"/>
          <w:kern w:val="0"/>
          <w:sz w:val="32"/>
          <w:szCs w:val="32"/>
        </w:rPr>
      </w:pPr>
      <w:r>
        <w:rPr>
          <w:rFonts w:ascii="仿宋" w:eastAsia="仿宋" w:hAnsi="仿宋" w:hint="eastAsia"/>
          <w:kern w:val="0"/>
          <w:sz w:val="32"/>
          <w:szCs w:val="32"/>
        </w:rPr>
        <w:t>2018年1-1</w:t>
      </w:r>
      <w:r w:rsidR="00DE2320">
        <w:rPr>
          <w:rFonts w:ascii="仿宋" w:eastAsia="仿宋" w:hAnsi="仿宋" w:hint="eastAsia"/>
          <w:kern w:val="0"/>
          <w:sz w:val="32"/>
          <w:szCs w:val="32"/>
        </w:rPr>
        <w:t>2</w:t>
      </w:r>
      <w:r>
        <w:rPr>
          <w:rFonts w:ascii="仿宋" w:eastAsia="仿宋" w:hAnsi="仿宋" w:hint="eastAsia"/>
          <w:kern w:val="0"/>
          <w:sz w:val="32"/>
          <w:szCs w:val="32"/>
        </w:rPr>
        <w:t>月全省累计生产商品混凝土</w:t>
      </w:r>
      <w:r w:rsidR="00DE2320">
        <w:rPr>
          <w:rFonts w:ascii="仿宋" w:eastAsia="仿宋" w:hAnsi="仿宋" w:hint="eastAsia"/>
          <w:kern w:val="0"/>
          <w:sz w:val="32"/>
          <w:szCs w:val="32"/>
        </w:rPr>
        <w:t>6929</w:t>
      </w:r>
      <w:r>
        <w:rPr>
          <w:rFonts w:ascii="仿宋" w:eastAsia="仿宋" w:hAnsi="仿宋" w:hint="eastAsia"/>
          <w:kern w:val="0"/>
          <w:sz w:val="32"/>
          <w:szCs w:val="32"/>
        </w:rPr>
        <w:t>万立方米，同比增</w:t>
      </w:r>
      <w:r w:rsidR="00DE2320">
        <w:rPr>
          <w:rFonts w:ascii="仿宋" w:eastAsia="仿宋" w:hAnsi="仿宋" w:hint="eastAsia"/>
          <w:kern w:val="0"/>
          <w:sz w:val="32"/>
          <w:szCs w:val="32"/>
        </w:rPr>
        <w:t>长11.69</w:t>
      </w:r>
      <w:r>
        <w:rPr>
          <w:rFonts w:ascii="仿宋" w:eastAsia="仿宋" w:hAnsi="仿宋" w:hint="eastAsia"/>
          <w:kern w:val="0"/>
          <w:sz w:val="32"/>
          <w:szCs w:val="32"/>
        </w:rPr>
        <w:t>%；排水管产量</w:t>
      </w:r>
      <w:r w:rsidR="00DE2320">
        <w:rPr>
          <w:rFonts w:ascii="仿宋" w:eastAsia="仿宋" w:hAnsi="仿宋" w:hint="eastAsia"/>
          <w:kern w:val="0"/>
          <w:sz w:val="32"/>
          <w:szCs w:val="32"/>
        </w:rPr>
        <w:t>5690.14</w:t>
      </w:r>
      <w:r>
        <w:rPr>
          <w:rFonts w:ascii="仿宋" w:eastAsia="仿宋" w:hAnsi="仿宋" w:hint="eastAsia"/>
          <w:kern w:val="0"/>
          <w:sz w:val="32"/>
          <w:szCs w:val="32"/>
        </w:rPr>
        <w:t>千米，同比下降</w:t>
      </w:r>
      <w:r w:rsidR="00DE2320">
        <w:rPr>
          <w:rFonts w:ascii="仿宋" w:eastAsia="仿宋" w:hAnsi="仿宋" w:hint="eastAsia"/>
          <w:kern w:val="0"/>
          <w:sz w:val="32"/>
          <w:szCs w:val="32"/>
        </w:rPr>
        <w:t>54.27</w:t>
      </w:r>
      <w:r>
        <w:rPr>
          <w:rFonts w:ascii="仿宋" w:eastAsia="仿宋" w:hAnsi="仿宋" w:hint="eastAsia"/>
          <w:kern w:val="0"/>
          <w:sz w:val="32"/>
          <w:szCs w:val="32"/>
        </w:rPr>
        <w:t>%；压力管产量17千米，同比下降</w:t>
      </w:r>
      <w:r w:rsidR="00DE2320">
        <w:rPr>
          <w:rFonts w:ascii="仿宋" w:eastAsia="仿宋" w:hAnsi="仿宋" w:hint="eastAsia"/>
          <w:kern w:val="0"/>
          <w:sz w:val="32"/>
          <w:szCs w:val="32"/>
        </w:rPr>
        <w:t>38.47</w:t>
      </w:r>
      <w:r>
        <w:rPr>
          <w:rFonts w:ascii="仿宋" w:eastAsia="仿宋" w:hAnsi="仿宋" w:hint="eastAsia"/>
          <w:kern w:val="0"/>
          <w:sz w:val="32"/>
          <w:szCs w:val="32"/>
        </w:rPr>
        <w:t>%；水泥电杆产量</w:t>
      </w:r>
      <w:r w:rsidR="00DE2320">
        <w:rPr>
          <w:rFonts w:ascii="仿宋" w:eastAsia="仿宋" w:hAnsi="仿宋" w:hint="eastAsia"/>
          <w:kern w:val="0"/>
          <w:sz w:val="32"/>
          <w:szCs w:val="32"/>
        </w:rPr>
        <w:t>66.65</w:t>
      </w:r>
      <w:r>
        <w:rPr>
          <w:rFonts w:ascii="仿宋" w:eastAsia="仿宋" w:hAnsi="仿宋" w:hint="eastAsia"/>
          <w:kern w:val="0"/>
          <w:sz w:val="32"/>
          <w:szCs w:val="32"/>
        </w:rPr>
        <w:t>万根，同比下降</w:t>
      </w:r>
      <w:r w:rsidR="00DE2320">
        <w:rPr>
          <w:rFonts w:ascii="仿宋" w:eastAsia="仿宋" w:hAnsi="仿宋" w:hint="eastAsia"/>
          <w:kern w:val="0"/>
          <w:sz w:val="32"/>
          <w:szCs w:val="32"/>
        </w:rPr>
        <w:t>18.1</w:t>
      </w:r>
      <w:r>
        <w:rPr>
          <w:rFonts w:ascii="仿宋" w:eastAsia="仿宋" w:hAnsi="仿宋" w:hint="eastAsia"/>
          <w:kern w:val="0"/>
          <w:sz w:val="32"/>
          <w:szCs w:val="32"/>
        </w:rPr>
        <w:t>%；水泥混凝土桩产量</w:t>
      </w:r>
      <w:r w:rsidR="00DE2320">
        <w:rPr>
          <w:rFonts w:ascii="仿宋" w:eastAsia="仿宋" w:hAnsi="仿宋" w:hint="eastAsia"/>
          <w:kern w:val="0"/>
          <w:sz w:val="32"/>
          <w:szCs w:val="32"/>
        </w:rPr>
        <w:t>769</w:t>
      </w:r>
      <w:r>
        <w:rPr>
          <w:rFonts w:ascii="仿宋" w:eastAsia="仿宋" w:hAnsi="仿宋" w:hint="eastAsia"/>
          <w:kern w:val="0"/>
          <w:sz w:val="32"/>
          <w:szCs w:val="32"/>
        </w:rPr>
        <w:t>万米，同比</w:t>
      </w:r>
      <w:r w:rsidR="00DE2320">
        <w:rPr>
          <w:rFonts w:ascii="仿宋" w:eastAsia="仿宋" w:hAnsi="仿宋" w:hint="eastAsia"/>
          <w:kern w:val="0"/>
          <w:sz w:val="32"/>
          <w:szCs w:val="32"/>
        </w:rPr>
        <w:t>增长0.45%</w:t>
      </w:r>
      <w:r>
        <w:rPr>
          <w:rFonts w:ascii="仿宋" w:eastAsia="仿宋" w:hAnsi="仿宋" w:hint="eastAsia"/>
          <w:kern w:val="0"/>
          <w:sz w:val="32"/>
          <w:szCs w:val="32"/>
        </w:rPr>
        <w:t>；分别占全国比重为3.</w:t>
      </w:r>
      <w:r w:rsidR="00DE2320">
        <w:rPr>
          <w:rFonts w:ascii="仿宋" w:eastAsia="仿宋" w:hAnsi="仿宋" w:hint="eastAsia"/>
          <w:kern w:val="0"/>
          <w:sz w:val="32"/>
          <w:szCs w:val="32"/>
        </w:rPr>
        <w:t>86</w:t>
      </w:r>
      <w:r>
        <w:rPr>
          <w:rFonts w:ascii="仿宋" w:eastAsia="仿宋" w:hAnsi="仿宋" w:hint="eastAsia"/>
          <w:kern w:val="0"/>
          <w:sz w:val="32"/>
          <w:szCs w:val="32"/>
        </w:rPr>
        <w:t>%、</w:t>
      </w:r>
      <w:r w:rsidR="00DE2320">
        <w:rPr>
          <w:rFonts w:ascii="仿宋" w:eastAsia="仿宋" w:hAnsi="仿宋" w:hint="eastAsia"/>
          <w:kern w:val="0"/>
          <w:sz w:val="32"/>
          <w:szCs w:val="32"/>
        </w:rPr>
        <w:t>9.43</w:t>
      </w:r>
      <w:r>
        <w:rPr>
          <w:rFonts w:ascii="仿宋" w:eastAsia="仿宋" w:hAnsi="仿宋" w:hint="eastAsia"/>
          <w:kern w:val="0"/>
          <w:sz w:val="32"/>
          <w:szCs w:val="32"/>
        </w:rPr>
        <w:t>%、0.3</w:t>
      </w:r>
      <w:r w:rsidR="00DE2320">
        <w:rPr>
          <w:rFonts w:ascii="仿宋" w:eastAsia="仿宋" w:hAnsi="仿宋" w:hint="eastAsia"/>
          <w:kern w:val="0"/>
          <w:sz w:val="32"/>
          <w:szCs w:val="32"/>
        </w:rPr>
        <w:t>4</w:t>
      </w:r>
      <w:r>
        <w:rPr>
          <w:rFonts w:ascii="仿宋" w:eastAsia="仿宋" w:hAnsi="仿宋" w:hint="eastAsia"/>
          <w:kern w:val="0"/>
          <w:sz w:val="32"/>
          <w:szCs w:val="32"/>
        </w:rPr>
        <w:t>%、4.</w:t>
      </w:r>
      <w:r w:rsidR="00DE2320">
        <w:rPr>
          <w:rFonts w:ascii="仿宋" w:eastAsia="仿宋" w:hAnsi="仿宋" w:hint="eastAsia"/>
          <w:kern w:val="0"/>
          <w:sz w:val="32"/>
          <w:szCs w:val="32"/>
        </w:rPr>
        <w:t>27</w:t>
      </w:r>
      <w:r>
        <w:rPr>
          <w:rFonts w:ascii="仿宋" w:eastAsia="仿宋" w:hAnsi="仿宋" w:hint="eastAsia"/>
          <w:kern w:val="0"/>
          <w:sz w:val="32"/>
          <w:szCs w:val="32"/>
        </w:rPr>
        <w:t>%和2.</w:t>
      </w:r>
      <w:r w:rsidR="00DE2320">
        <w:rPr>
          <w:rFonts w:ascii="仿宋" w:eastAsia="仿宋" w:hAnsi="仿宋" w:hint="eastAsia"/>
          <w:kern w:val="0"/>
          <w:sz w:val="32"/>
          <w:szCs w:val="32"/>
        </w:rPr>
        <w:t>5</w:t>
      </w:r>
      <w:r>
        <w:rPr>
          <w:rFonts w:ascii="仿宋" w:eastAsia="仿宋" w:hAnsi="仿宋" w:hint="eastAsia"/>
          <w:kern w:val="0"/>
          <w:sz w:val="32"/>
          <w:szCs w:val="32"/>
        </w:rPr>
        <w:t>%。</w:t>
      </w:r>
    </w:p>
    <w:p w:rsidR="006F572C" w:rsidRDefault="00BD155E">
      <w:pPr>
        <w:widowControl/>
        <w:ind w:firstLineChars="200" w:firstLine="640"/>
        <w:rPr>
          <w:rFonts w:ascii="仿宋" w:eastAsia="仿宋" w:hAnsi="仿宋"/>
          <w:kern w:val="0"/>
          <w:sz w:val="32"/>
          <w:szCs w:val="32"/>
        </w:rPr>
      </w:pPr>
      <w:r>
        <w:rPr>
          <w:rFonts w:ascii="仿宋" w:eastAsia="仿宋" w:hAnsi="仿宋" w:hint="eastAsia"/>
          <w:kern w:val="0"/>
          <w:sz w:val="32"/>
          <w:szCs w:val="32"/>
        </w:rPr>
        <w:t>全省自2018年6月份召开打击整治非法采砂专项行动电视电话会议，全省范围内整治非法采砂现象，整治内流河内的破坏生态环境现象，关停了一大部分非法砂石开采厂，市场短期内出现了供货紧张的现象；同时，9月1日开展的超限超载治理，彻底整顿了公路运输的恶疾，也使全部为公</w:t>
      </w:r>
      <w:r>
        <w:rPr>
          <w:rFonts w:ascii="仿宋" w:eastAsia="仿宋" w:hAnsi="仿宋" w:hint="eastAsia"/>
          <w:kern w:val="0"/>
          <w:sz w:val="32"/>
          <w:szCs w:val="32"/>
        </w:rPr>
        <w:lastRenderedPageBreak/>
        <w:t>路运输的砂石在运输上出现增加。但随着大企业对新型绿色骨料线、机制砂等设备的投入，将缓解砂石料的紧缺程度，逐步完善和平衡市场关系。</w:t>
      </w:r>
    </w:p>
    <w:p w:rsidR="006F572C" w:rsidRDefault="00BD155E">
      <w:pPr>
        <w:widowControl/>
        <w:ind w:firstLineChars="250" w:firstLine="800"/>
        <w:rPr>
          <w:rFonts w:ascii="仿宋" w:eastAsia="仿宋" w:hAnsi="仿宋"/>
          <w:kern w:val="0"/>
          <w:sz w:val="32"/>
          <w:szCs w:val="32"/>
        </w:rPr>
      </w:pPr>
      <w:r>
        <w:rPr>
          <w:rFonts w:ascii="仿宋" w:eastAsia="仿宋" w:hAnsi="仿宋" w:hint="eastAsia"/>
          <w:kern w:val="0"/>
          <w:sz w:val="32"/>
          <w:szCs w:val="32"/>
        </w:rPr>
        <w:t>随着国家稳中求进的经济发展战略的推进，国家将会大力提升基础设施建设投资比例，来弥补经济动力不足的短板，加快十三五规划的项目投资的落实，央行应将会适度放松货币政策增强市场流通性，国家通过各项政策减轻企业压力，这将给混凝土与水泥制品及与之相关的行业保持平稳运行，实现优化升级、积极发展高质量产品及产业创造了时间和空间；但由于国家限制房地产的政策持续加强，伴随着“去库存”政策的退出和“棚改”政策的收紧与转向，后期的房地产开发投资有所回落，导致后期房地产拉动会持续削弱，很难为行业发展提供强有力的支撑。</w:t>
      </w:r>
    </w:p>
    <w:p w:rsidR="006F572C" w:rsidRDefault="00BD155E">
      <w:pPr>
        <w:ind w:firstLineChars="150" w:firstLine="482"/>
        <w:outlineLvl w:val="0"/>
        <w:rPr>
          <w:rFonts w:ascii="仿宋" w:eastAsia="仿宋" w:hAnsi="仿宋"/>
          <w:b/>
          <w:sz w:val="32"/>
          <w:szCs w:val="32"/>
        </w:rPr>
      </w:pPr>
      <w:r>
        <w:rPr>
          <w:rFonts w:ascii="仿宋" w:eastAsia="仿宋" w:hAnsi="仿宋" w:hint="eastAsia"/>
          <w:b/>
          <w:sz w:val="32"/>
          <w:szCs w:val="32"/>
        </w:rPr>
        <w:t>三、全省玻璃工业运行情况</w:t>
      </w:r>
    </w:p>
    <w:p w:rsidR="006F572C" w:rsidRDefault="00BD155E">
      <w:pPr>
        <w:ind w:firstLine="645"/>
        <w:rPr>
          <w:rFonts w:ascii="仿宋" w:eastAsia="仿宋" w:hAnsi="仿宋" w:cs="仿宋"/>
          <w:sz w:val="32"/>
          <w:szCs w:val="32"/>
        </w:rPr>
      </w:pPr>
      <w:r>
        <w:rPr>
          <w:rFonts w:ascii="仿宋" w:eastAsia="仿宋" w:hAnsi="仿宋" w:cs="仿宋" w:hint="eastAsia"/>
          <w:sz w:val="32"/>
          <w:szCs w:val="32"/>
        </w:rPr>
        <w:t>2018年1-1</w:t>
      </w:r>
      <w:r w:rsidR="00C06465">
        <w:rPr>
          <w:rFonts w:ascii="仿宋" w:eastAsia="仿宋" w:hAnsi="仿宋" w:cs="仿宋" w:hint="eastAsia"/>
          <w:sz w:val="32"/>
          <w:szCs w:val="32"/>
        </w:rPr>
        <w:t>2</w:t>
      </w:r>
      <w:r>
        <w:rPr>
          <w:rFonts w:ascii="仿宋" w:eastAsia="仿宋" w:hAnsi="仿宋" w:cs="仿宋" w:hint="eastAsia"/>
          <w:sz w:val="32"/>
          <w:szCs w:val="32"/>
        </w:rPr>
        <w:t>月，全省累计生产平板玻璃</w:t>
      </w:r>
      <w:r w:rsidR="00C06465">
        <w:rPr>
          <w:rFonts w:ascii="仿宋" w:eastAsia="仿宋" w:hAnsi="仿宋" w:cs="仿宋" w:hint="eastAsia"/>
          <w:sz w:val="32"/>
          <w:szCs w:val="32"/>
        </w:rPr>
        <w:t>1983.14</w:t>
      </w:r>
      <w:r>
        <w:rPr>
          <w:rFonts w:ascii="仿宋" w:eastAsia="仿宋" w:hAnsi="仿宋" w:cs="仿宋" w:hint="eastAsia"/>
          <w:sz w:val="32"/>
          <w:szCs w:val="32"/>
        </w:rPr>
        <w:t>万重量箱，同比下降</w:t>
      </w:r>
      <w:r w:rsidR="00C06465">
        <w:rPr>
          <w:rFonts w:ascii="仿宋" w:eastAsia="仿宋" w:hAnsi="仿宋" w:cs="仿宋" w:hint="eastAsia"/>
          <w:sz w:val="32"/>
          <w:szCs w:val="32"/>
        </w:rPr>
        <w:t>1.38</w:t>
      </w:r>
      <w:r>
        <w:rPr>
          <w:rFonts w:ascii="仿宋" w:eastAsia="仿宋" w:hAnsi="仿宋" w:cs="仿宋" w:hint="eastAsia"/>
          <w:sz w:val="32"/>
          <w:szCs w:val="32"/>
        </w:rPr>
        <w:t>%；钢化玻璃累计产量</w:t>
      </w:r>
      <w:r w:rsidR="00C06465">
        <w:rPr>
          <w:rFonts w:ascii="仿宋" w:eastAsia="仿宋" w:hAnsi="仿宋" w:cs="仿宋" w:hint="eastAsia"/>
          <w:sz w:val="32"/>
          <w:szCs w:val="32"/>
        </w:rPr>
        <w:t>6138.36</w:t>
      </w:r>
      <w:r>
        <w:rPr>
          <w:rFonts w:ascii="仿宋" w:eastAsia="仿宋" w:hAnsi="仿宋" w:cs="仿宋" w:hint="eastAsia"/>
          <w:sz w:val="32"/>
          <w:szCs w:val="32"/>
        </w:rPr>
        <w:t>万平方米，同比增长</w:t>
      </w:r>
      <w:r w:rsidR="00C06465">
        <w:rPr>
          <w:rFonts w:ascii="仿宋" w:eastAsia="仿宋" w:hAnsi="仿宋" w:cs="仿宋" w:hint="eastAsia"/>
          <w:sz w:val="32"/>
          <w:szCs w:val="32"/>
        </w:rPr>
        <w:t>92.2</w:t>
      </w:r>
      <w:r>
        <w:rPr>
          <w:rFonts w:ascii="仿宋" w:eastAsia="仿宋" w:hAnsi="仿宋" w:cs="仿宋" w:hint="eastAsia"/>
          <w:sz w:val="32"/>
          <w:szCs w:val="32"/>
        </w:rPr>
        <w:t>%；夹层玻璃累计产量</w:t>
      </w:r>
      <w:r w:rsidR="00C06465">
        <w:rPr>
          <w:rFonts w:ascii="仿宋" w:eastAsia="仿宋" w:hAnsi="仿宋" w:cs="仿宋" w:hint="eastAsia"/>
          <w:sz w:val="32"/>
          <w:szCs w:val="32"/>
        </w:rPr>
        <w:t>797</w:t>
      </w:r>
      <w:r>
        <w:rPr>
          <w:rFonts w:ascii="仿宋" w:eastAsia="仿宋" w:hAnsi="仿宋" w:cs="仿宋" w:hint="eastAsia"/>
          <w:sz w:val="32"/>
          <w:szCs w:val="32"/>
        </w:rPr>
        <w:t>万平方米，同比增长</w:t>
      </w:r>
      <w:r w:rsidR="00C06465">
        <w:rPr>
          <w:rFonts w:ascii="仿宋" w:eastAsia="仿宋" w:hAnsi="仿宋" w:cs="仿宋" w:hint="eastAsia"/>
          <w:sz w:val="32"/>
          <w:szCs w:val="32"/>
        </w:rPr>
        <w:t>14.69</w:t>
      </w:r>
      <w:r>
        <w:rPr>
          <w:rFonts w:ascii="仿宋" w:eastAsia="仿宋" w:hAnsi="仿宋" w:cs="仿宋" w:hint="eastAsia"/>
          <w:sz w:val="32"/>
          <w:szCs w:val="32"/>
        </w:rPr>
        <w:t>%；中空玻璃累计产量</w:t>
      </w:r>
      <w:r w:rsidR="00C06465">
        <w:rPr>
          <w:rFonts w:ascii="仿宋" w:eastAsia="仿宋" w:hAnsi="仿宋" w:cs="仿宋" w:hint="eastAsia"/>
          <w:sz w:val="32"/>
          <w:szCs w:val="32"/>
        </w:rPr>
        <w:t>113.5</w:t>
      </w:r>
      <w:r>
        <w:rPr>
          <w:rFonts w:ascii="仿宋" w:eastAsia="仿宋" w:hAnsi="仿宋" w:cs="仿宋" w:hint="eastAsia"/>
          <w:sz w:val="32"/>
          <w:szCs w:val="32"/>
        </w:rPr>
        <w:t>万平方米，同比下降</w:t>
      </w:r>
      <w:r w:rsidR="00C06465">
        <w:rPr>
          <w:rFonts w:ascii="仿宋" w:eastAsia="仿宋" w:hAnsi="仿宋" w:cs="仿宋" w:hint="eastAsia"/>
          <w:sz w:val="32"/>
          <w:szCs w:val="32"/>
        </w:rPr>
        <w:t>9.18</w:t>
      </w:r>
      <w:r>
        <w:rPr>
          <w:rFonts w:ascii="仿宋" w:eastAsia="仿宋" w:hAnsi="仿宋" w:cs="仿宋" w:hint="eastAsia"/>
          <w:sz w:val="32"/>
          <w:szCs w:val="32"/>
        </w:rPr>
        <w:t>%；分别占全国总产量的2.2</w:t>
      </w:r>
      <w:r w:rsidR="00C06465">
        <w:rPr>
          <w:rFonts w:ascii="仿宋" w:eastAsia="仿宋" w:hAnsi="仿宋" w:cs="仿宋" w:hint="eastAsia"/>
          <w:sz w:val="32"/>
          <w:szCs w:val="32"/>
        </w:rPr>
        <w:t>8</w:t>
      </w:r>
      <w:r>
        <w:rPr>
          <w:rFonts w:ascii="仿宋" w:eastAsia="仿宋" w:hAnsi="仿宋" w:cs="仿宋" w:hint="eastAsia"/>
          <w:sz w:val="32"/>
          <w:szCs w:val="32"/>
        </w:rPr>
        <w:t>%，</w:t>
      </w:r>
      <w:r w:rsidR="00C06465">
        <w:rPr>
          <w:rFonts w:ascii="仿宋" w:eastAsia="仿宋" w:hAnsi="仿宋" w:cs="仿宋" w:hint="eastAsia"/>
          <w:sz w:val="32"/>
          <w:szCs w:val="32"/>
        </w:rPr>
        <w:t>13.03</w:t>
      </w:r>
      <w:r>
        <w:rPr>
          <w:rFonts w:ascii="仿宋" w:eastAsia="仿宋" w:hAnsi="仿宋" w:cs="仿宋" w:hint="eastAsia"/>
          <w:sz w:val="32"/>
          <w:szCs w:val="32"/>
        </w:rPr>
        <w:t>%，</w:t>
      </w:r>
      <w:r w:rsidR="00C06465">
        <w:rPr>
          <w:rFonts w:ascii="仿宋" w:eastAsia="仿宋" w:hAnsi="仿宋" w:cs="仿宋" w:hint="eastAsia"/>
          <w:sz w:val="32"/>
          <w:szCs w:val="32"/>
        </w:rPr>
        <w:t>9.27</w:t>
      </w:r>
      <w:r>
        <w:rPr>
          <w:rFonts w:ascii="仿宋" w:eastAsia="仿宋" w:hAnsi="仿宋" w:cs="仿宋" w:hint="eastAsia"/>
          <w:sz w:val="32"/>
          <w:szCs w:val="32"/>
        </w:rPr>
        <w:t>%和1.</w:t>
      </w:r>
      <w:r w:rsidR="00C06465">
        <w:rPr>
          <w:rFonts w:ascii="仿宋" w:eastAsia="仿宋" w:hAnsi="仿宋" w:cs="仿宋" w:hint="eastAsia"/>
          <w:sz w:val="32"/>
          <w:szCs w:val="32"/>
        </w:rPr>
        <w:t>15</w:t>
      </w:r>
      <w:r>
        <w:rPr>
          <w:rFonts w:ascii="仿宋" w:eastAsia="仿宋" w:hAnsi="仿宋" w:cs="仿宋" w:hint="eastAsia"/>
          <w:sz w:val="32"/>
          <w:szCs w:val="32"/>
        </w:rPr>
        <w:t>%。</w:t>
      </w:r>
    </w:p>
    <w:p w:rsidR="006F572C" w:rsidRDefault="00BD155E">
      <w:pPr>
        <w:ind w:firstLineChars="250" w:firstLine="800"/>
        <w:outlineLvl w:val="0"/>
        <w:rPr>
          <w:rFonts w:ascii="仿宋" w:eastAsia="仿宋" w:hAnsi="仿宋" w:cs="仿宋"/>
          <w:sz w:val="32"/>
          <w:szCs w:val="32"/>
        </w:rPr>
      </w:pPr>
      <w:r>
        <w:rPr>
          <w:rFonts w:ascii="仿宋" w:eastAsia="仿宋" w:hAnsi="仿宋" w:cs="仿宋" w:hint="eastAsia"/>
          <w:sz w:val="32"/>
          <w:szCs w:val="32"/>
        </w:rPr>
        <w:t>1-1</w:t>
      </w:r>
      <w:r w:rsidR="00C06465">
        <w:rPr>
          <w:rFonts w:ascii="仿宋" w:eastAsia="仿宋" w:hAnsi="仿宋" w:cs="仿宋" w:hint="eastAsia"/>
          <w:sz w:val="32"/>
          <w:szCs w:val="32"/>
        </w:rPr>
        <w:t>2</w:t>
      </w:r>
      <w:r>
        <w:rPr>
          <w:rFonts w:ascii="仿宋" w:eastAsia="仿宋" w:hAnsi="仿宋" w:cs="仿宋" w:hint="eastAsia"/>
          <w:sz w:val="32"/>
          <w:szCs w:val="32"/>
        </w:rPr>
        <w:t>月份河南浮法玻璃市场整体运行平稳，产能产量基本维持稳定。洛玻集团1-1</w:t>
      </w:r>
      <w:r w:rsidR="00C06465">
        <w:rPr>
          <w:rFonts w:ascii="仿宋" w:eastAsia="仿宋" w:hAnsi="仿宋" w:cs="仿宋" w:hint="eastAsia"/>
          <w:sz w:val="32"/>
          <w:szCs w:val="32"/>
        </w:rPr>
        <w:t>2</w:t>
      </w:r>
      <w:r>
        <w:rPr>
          <w:rFonts w:ascii="仿宋" w:eastAsia="仿宋" w:hAnsi="仿宋" w:cs="仿宋" w:hint="eastAsia"/>
          <w:sz w:val="32"/>
          <w:szCs w:val="32"/>
        </w:rPr>
        <w:t>月份累计生产浮法玻璃</w:t>
      </w:r>
      <w:r w:rsidR="00C06465">
        <w:rPr>
          <w:rFonts w:ascii="仿宋" w:eastAsia="仿宋" w:hAnsi="仿宋" w:cs="仿宋" w:hint="eastAsia"/>
          <w:sz w:val="32"/>
          <w:szCs w:val="32"/>
        </w:rPr>
        <w:t>878.11</w:t>
      </w:r>
      <w:r>
        <w:rPr>
          <w:rFonts w:ascii="仿宋" w:eastAsia="仿宋" w:hAnsi="仿宋" w:cs="仿宋" w:hint="eastAsia"/>
          <w:sz w:val="32"/>
          <w:szCs w:val="32"/>
        </w:rPr>
        <w:lastRenderedPageBreak/>
        <w:t>万重量箱，同比</w:t>
      </w:r>
      <w:r w:rsidR="00C06465">
        <w:rPr>
          <w:rFonts w:ascii="仿宋" w:eastAsia="仿宋" w:hAnsi="仿宋" w:cs="仿宋" w:hint="eastAsia"/>
          <w:sz w:val="32"/>
          <w:szCs w:val="32"/>
        </w:rPr>
        <w:t>增长0.88</w:t>
      </w:r>
      <w:r>
        <w:rPr>
          <w:rFonts w:ascii="仿宋" w:eastAsia="仿宋" w:hAnsi="仿宋" w:cs="仿宋" w:hint="eastAsia"/>
          <w:sz w:val="32"/>
          <w:szCs w:val="32"/>
        </w:rPr>
        <w:t>%，主营业务收入同比下降</w:t>
      </w:r>
      <w:r w:rsidR="00C06465">
        <w:rPr>
          <w:rFonts w:ascii="仿宋" w:eastAsia="仿宋" w:hAnsi="仿宋" w:cs="仿宋" w:hint="eastAsia"/>
          <w:sz w:val="32"/>
          <w:szCs w:val="32"/>
        </w:rPr>
        <w:t>7.76</w:t>
      </w:r>
      <w:r>
        <w:rPr>
          <w:rFonts w:ascii="仿宋" w:eastAsia="仿宋" w:hAnsi="仿宋" w:cs="仿宋" w:hint="eastAsia"/>
          <w:sz w:val="32"/>
          <w:szCs w:val="32"/>
        </w:rPr>
        <w:t>%，由于原材料价格的上涨，成本增加，企业销售有一定的压力，导致企业库存增加，利润有所下滑。</w:t>
      </w:r>
    </w:p>
    <w:p w:rsidR="006F572C" w:rsidRDefault="00BD155E">
      <w:pPr>
        <w:ind w:firstLineChars="200" w:firstLine="640"/>
        <w:rPr>
          <w:rFonts w:ascii="仿宋_GB2312" w:eastAsia="仿宋_GB2312" w:hAnsi="仿宋"/>
          <w:sz w:val="32"/>
          <w:szCs w:val="32"/>
        </w:rPr>
      </w:pPr>
      <w:r>
        <w:rPr>
          <w:rFonts w:ascii="仿宋_GB2312" w:eastAsia="仿宋_GB2312" w:hAnsi="仿宋" w:cs="Times New Roman" w:hint="eastAsia"/>
          <w:sz w:val="32"/>
          <w:szCs w:val="32"/>
        </w:rPr>
        <w:t>2018年全国大部分市场都处于僵持或者萎靡的状态，至年底部分厂家库存偏高，需求端减缓，加工企业采购量同比减少；除了部分北方地区集中停产生产线之外，其他地区产能增加幅度比较快，对2019年本地和周边市场的供给有一定的压力。房地产市场转暖或玻璃行业放水、冷修等减少产能可缓解供需格局的矛盾。</w:t>
      </w:r>
    </w:p>
    <w:p w:rsidR="006F572C" w:rsidRDefault="00BD155E">
      <w:pPr>
        <w:autoSpaceDN w:val="0"/>
        <w:ind w:firstLineChars="200" w:firstLine="640"/>
        <w:textAlignment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接下来的2个月是节日淡季，预计多数厂家将在1月中下旬开始放假，市场购销转淡，在2月下旬之后市场逐步恢复，就目前来看，玻璃上游纯碱行业产销较好，纯碱涨价动能明显强于玻璃，玻璃生产成本刚性增加。产能缩减的情况之下，玻璃下行概率不大，将坚守成本线为主。</w:t>
      </w:r>
    </w:p>
    <w:p w:rsidR="006F572C" w:rsidRDefault="00BD155E">
      <w:pPr>
        <w:ind w:firstLineChars="200" w:firstLine="643"/>
        <w:outlineLvl w:val="0"/>
        <w:rPr>
          <w:rFonts w:ascii="仿宋" w:eastAsia="仿宋" w:hAnsi="仿宋"/>
          <w:b/>
          <w:sz w:val="32"/>
          <w:szCs w:val="32"/>
        </w:rPr>
      </w:pPr>
      <w:r>
        <w:rPr>
          <w:rFonts w:ascii="仿宋" w:eastAsia="仿宋" w:hAnsi="仿宋" w:cs="仿宋" w:hint="eastAsia"/>
          <w:b/>
          <w:sz w:val="32"/>
          <w:szCs w:val="32"/>
        </w:rPr>
        <w:t>四、</w:t>
      </w:r>
      <w:r>
        <w:rPr>
          <w:rFonts w:ascii="仿宋" w:eastAsia="仿宋" w:hAnsi="仿宋" w:hint="eastAsia"/>
          <w:b/>
          <w:sz w:val="32"/>
          <w:szCs w:val="32"/>
        </w:rPr>
        <w:t>全省陶瓷工业运行情况</w:t>
      </w:r>
    </w:p>
    <w:p w:rsidR="006F572C" w:rsidRDefault="00BD155E">
      <w:pPr>
        <w:ind w:firstLineChars="200" w:firstLine="640"/>
        <w:rPr>
          <w:rFonts w:ascii="仿宋" w:eastAsia="仿宋" w:hAnsi="仿宋" w:cs="仿宋"/>
          <w:sz w:val="32"/>
          <w:szCs w:val="32"/>
        </w:rPr>
      </w:pPr>
      <w:r>
        <w:rPr>
          <w:rFonts w:ascii="仿宋" w:eastAsia="仿宋" w:hAnsi="仿宋" w:cs="仿宋" w:hint="eastAsia"/>
          <w:sz w:val="32"/>
          <w:szCs w:val="32"/>
        </w:rPr>
        <w:t>2018年1-1</w:t>
      </w:r>
      <w:r w:rsidR="00C06465">
        <w:rPr>
          <w:rFonts w:ascii="仿宋" w:eastAsia="仿宋" w:hAnsi="仿宋" w:cs="仿宋" w:hint="eastAsia"/>
          <w:sz w:val="32"/>
          <w:szCs w:val="32"/>
        </w:rPr>
        <w:t>2</w:t>
      </w:r>
      <w:r>
        <w:rPr>
          <w:rFonts w:ascii="仿宋" w:eastAsia="仿宋" w:hAnsi="仿宋" w:cs="仿宋" w:hint="eastAsia"/>
          <w:sz w:val="32"/>
          <w:szCs w:val="32"/>
        </w:rPr>
        <w:t>月，全省卫生陶瓷累计产量</w:t>
      </w:r>
      <w:r w:rsidR="00C06465">
        <w:rPr>
          <w:rFonts w:ascii="仿宋" w:eastAsia="仿宋" w:hAnsi="仿宋" w:cs="仿宋" w:hint="eastAsia"/>
          <w:sz w:val="32"/>
          <w:szCs w:val="32"/>
        </w:rPr>
        <w:t>7560</w:t>
      </w:r>
      <w:r>
        <w:rPr>
          <w:rFonts w:ascii="仿宋" w:eastAsia="仿宋" w:hAnsi="仿宋" w:cs="仿宋" w:hint="eastAsia"/>
          <w:sz w:val="32"/>
          <w:szCs w:val="32"/>
        </w:rPr>
        <w:t>万件，同比增长</w:t>
      </w:r>
      <w:r w:rsidR="00C06465">
        <w:rPr>
          <w:rFonts w:ascii="仿宋" w:eastAsia="仿宋" w:hAnsi="仿宋" w:cs="仿宋" w:hint="eastAsia"/>
          <w:sz w:val="32"/>
          <w:szCs w:val="32"/>
        </w:rPr>
        <w:t>2.08</w:t>
      </w:r>
      <w:r>
        <w:rPr>
          <w:rFonts w:ascii="仿宋" w:eastAsia="仿宋" w:hAnsi="仿宋" w:cs="仿宋" w:hint="eastAsia"/>
          <w:sz w:val="32"/>
          <w:szCs w:val="32"/>
        </w:rPr>
        <w:t>%，占全国总产量的36</w:t>
      </w:r>
      <w:r w:rsidR="00C06465">
        <w:rPr>
          <w:rFonts w:ascii="仿宋" w:eastAsia="仿宋" w:hAnsi="仿宋" w:cs="仿宋" w:hint="eastAsia"/>
          <w:sz w:val="32"/>
          <w:szCs w:val="32"/>
        </w:rPr>
        <w:t>.6</w:t>
      </w:r>
      <w:r>
        <w:rPr>
          <w:rFonts w:ascii="仿宋" w:eastAsia="仿宋" w:hAnsi="仿宋" w:cs="仿宋" w:hint="eastAsia"/>
          <w:sz w:val="32"/>
          <w:szCs w:val="32"/>
        </w:rPr>
        <w:t>%。陶瓷砖累计产量</w:t>
      </w:r>
      <w:r w:rsidR="00C06465">
        <w:rPr>
          <w:rFonts w:ascii="仿宋" w:eastAsia="仿宋" w:hAnsi="仿宋" w:cs="仿宋" w:hint="eastAsia"/>
          <w:sz w:val="32"/>
          <w:szCs w:val="32"/>
        </w:rPr>
        <w:t>24985</w:t>
      </w:r>
      <w:r>
        <w:rPr>
          <w:rFonts w:ascii="仿宋" w:eastAsia="仿宋" w:hAnsi="仿宋" w:cs="仿宋" w:hint="eastAsia"/>
          <w:sz w:val="32"/>
          <w:szCs w:val="32"/>
        </w:rPr>
        <w:t>万平方米，同比下降</w:t>
      </w:r>
      <w:r w:rsidR="00C06465">
        <w:rPr>
          <w:rFonts w:ascii="仿宋" w:eastAsia="仿宋" w:hAnsi="仿宋" w:cs="仿宋" w:hint="eastAsia"/>
          <w:sz w:val="32"/>
          <w:szCs w:val="32"/>
        </w:rPr>
        <w:t>4.69</w:t>
      </w:r>
      <w:r>
        <w:rPr>
          <w:rFonts w:ascii="仿宋" w:eastAsia="仿宋" w:hAnsi="仿宋" w:cs="仿宋" w:hint="eastAsia"/>
          <w:sz w:val="32"/>
          <w:szCs w:val="32"/>
        </w:rPr>
        <w:t>%，占全国总产量的</w:t>
      </w:r>
      <w:r w:rsidR="00C06465">
        <w:rPr>
          <w:rFonts w:ascii="仿宋" w:eastAsia="仿宋" w:hAnsi="仿宋" w:cs="仿宋" w:hint="eastAsia"/>
          <w:sz w:val="32"/>
          <w:szCs w:val="32"/>
        </w:rPr>
        <w:t>2.72</w:t>
      </w:r>
      <w:r>
        <w:rPr>
          <w:rFonts w:ascii="仿宋" w:eastAsia="仿宋" w:hAnsi="仿宋" w:cs="仿宋" w:hint="eastAsia"/>
          <w:sz w:val="32"/>
          <w:szCs w:val="32"/>
        </w:rPr>
        <w:t>%。</w:t>
      </w:r>
    </w:p>
    <w:p w:rsidR="006F572C" w:rsidRDefault="00BD155E">
      <w:pPr>
        <w:ind w:firstLineChars="200" w:firstLine="640"/>
        <w:rPr>
          <w:rFonts w:ascii="仿宋" w:eastAsia="仿宋" w:hAnsi="仿宋" w:cs="仿宋"/>
          <w:sz w:val="32"/>
          <w:szCs w:val="32"/>
        </w:rPr>
      </w:pPr>
      <w:r>
        <w:rPr>
          <w:rFonts w:ascii="仿宋" w:eastAsia="仿宋" w:hAnsi="仿宋" w:cs="仿宋" w:hint="eastAsia"/>
          <w:sz w:val="32"/>
          <w:szCs w:val="32"/>
        </w:rPr>
        <w:t>2018年在环保、销售低迷、原材料上涨、运费暴涨、“煤改气”、采暖季停产等多方因素影响下，河北、山西、陕西、河南多个产区部分陶瓷企业开始进入停窑期，停产时间比往年提前一月有余。同时，市场需求的严重收缩给企业带来了</w:t>
      </w:r>
      <w:r>
        <w:rPr>
          <w:rFonts w:ascii="仿宋" w:eastAsia="仿宋" w:hAnsi="仿宋" w:cs="仿宋" w:hint="eastAsia"/>
          <w:sz w:val="32"/>
          <w:szCs w:val="32"/>
        </w:rPr>
        <w:lastRenderedPageBreak/>
        <w:t>很大的销售压力。今年从5月份开始市场受制于新一轮宏观经济周期和房地产调控，房屋成交量总体呈下降态势，“市场蛋糕”变小，是导致瓷砖产品需求不旺的主要原因。此外，受环保督查影响，不但大部分工地停工、农村自建房也被严格控制，以及全省对超载超限进行严查，也使得陶瓷企业原材料的运费每吨上涨10至20元，每年仅此一项都将增加几百万元的成本。在形势逼迫下，一些陶企不得不主动停掉部分生产线，以减缓库存压力、规避经营风险。截止10月份市场依旧没有明显好转，部分陶瓷企业提前停产检修已成定局。</w:t>
      </w:r>
      <w:r>
        <w:rPr>
          <w:rFonts w:ascii="仿宋" w:eastAsia="仿宋" w:hAnsi="仿宋" w:cs="仿宋" w:hint="eastAsia"/>
          <w:bCs/>
          <w:sz w:val="32"/>
          <w:szCs w:val="32"/>
        </w:rPr>
        <w:t>河南鹤壁停产生产线已经近半，河南内黄、河北高邑也有近10条生产线停产。</w:t>
      </w:r>
    </w:p>
    <w:p w:rsidR="006F572C" w:rsidRDefault="00BD155E">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随着国家产业政策的积极引导、环保门槛不断提升，落后产能以及环保不达标的企业将会被逐步淘汰及关停。因此注重品牌形象建设、研发技术投入以及绿色环保制造升级的企业将会在行业洗牌中做大做强，行业集中度将会进一步提高。</w:t>
      </w:r>
    </w:p>
    <w:p w:rsidR="006F572C" w:rsidRDefault="00BD155E">
      <w:pPr>
        <w:ind w:firstLineChars="200" w:firstLine="643"/>
        <w:rPr>
          <w:rFonts w:ascii="仿宋" w:eastAsia="仿宋" w:hAnsi="仿宋" w:cs="仿宋"/>
          <w:b/>
          <w:bCs/>
          <w:kern w:val="0"/>
          <w:sz w:val="32"/>
          <w:szCs w:val="32"/>
        </w:rPr>
      </w:pPr>
      <w:r>
        <w:rPr>
          <w:rFonts w:ascii="仿宋" w:eastAsia="仿宋" w:hAnsi="仿宋" w:cs="仿宋" w:hint="eastAsia"/>
          <w:b/>
          <w:bCs/>
          <w:kern w:val="0"/>
          <w:sz w:val="32"/>
          <w:szCs w:val="32"/>
        </w:rPr>
        <w:t>五、2019我省建材工业经济运行形势预测</w:t>
      </w:r>
    </w:p>
    <w:p w:rsidR="006F572C" w:rsidRDefault="00BD155E">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目前，我省建材行业经济运行总体保持平稳，表现为稳中有变的运行特征。这一方面是由于近年来建材行业以推动供给侧结构性改革为重点，在环保、质量、错峰生产等综合手段共同作用下，致力于产业结构调整和控制产能释放，努力维护市场供需动态平衡的结果。而另一方面，产能严重过</w:t>
      </w:r>
      <w:r>
        <w:rPr>
          <w:rFonts w:ascii="仿宋" w:eastAsia="仿宋" w:hAnsi="仿宋" w:cs="仿宋" w:hint="eastAsia"/>
          <w:kern w:val="0"/>
          <w:sz w:val="32"/>
          <w:szCs w:val="32"/>
        </w:rPr>
        <w:lastRenderedPageBreak/>
        <w:t>剩等结构性矛盾还没有得到有效缓解，市场需求下滑、企业内生动力不足的问题仍然存在，行业下行压力不断积聚。</w:t>
      </w:r>
    </w:p>
    <w:p w:rsidR="006F572C" w:rsidRDefault="00BD155E">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2019年，做为拉动我省经济增长的三驾马车之一投资方面，我省固定资产投资规模不减。以国家新型中心城市郑州为例：1月7日，郑州市第十五届人民代表大会常务委员会第三次会议审议通过了《关于郑州市2018年政府投资项目计划执行情况和2019年计划（草案）的报告》［以下简称《计划（草案）》］，确定2019年郑州市政府投资项目253项，年度投资计划总额881亿元，较2018年计划增长4.42%。</w:t>
      </w:r>
    </w:p>
    <w:p w:rsidR="006F572C" w:rsidRDefault="00BD155E">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2019年，在财力允许和风险可控的前提下，郑州市将持续加大基础设施和民生领域投入，保持适度的政府投资规模，争取实现国家中心城市建设第一阶段目标任务。加快四环线及大河路快速化工程（总投资373.1亿元）、“十三五”市政控制性节点（地下交通）工程（总投资196.6亿元）等28个在建项目建设进度，投资总规模2241.4亿元，年度安排计划达到500.8亿元，占盘子比重达到56.8%。推动焦平高速公路荥阳至新密段新建工程（总投资79.2亿元）、郑州新区污水处理厂二期工程（总投资39.9亿元）等9个新开项目尽快进入施工高潮，投资总规模为237亿元，年度安排计划达到46亿元，占盘子比重达到5.2%。</w:t>
      </w:r>
    </w:p>
    <w:p w:rsidR="006F572C" w:rsidRDefault="00BD155E">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 根据郑州市《计划（草案）》，今年将投资25项农林水项目，投资计划60.5亿元，较2018年计划增长14.3%，</w:t>
      </w:r>
      <w:r>
        <w:rPr>
          <w:rFonts w:ascii="仿宋" w:eastAsia="仿宋" w:hAnsi="仿宋" w:cs="仿宋" w:hint="eastAsia"/>
          <w:kern w:val="0"/>
          <w:sz w:val="32"/>
          <w:szCs w:val="32"/>
        </w:rPr>
        <w:lastRenderedPageBreak/>
        <w:t>占比6.9%。重点抓好贾鲁河综合治理（蓝线）工程、中原自然博物馆、郑州树木园改造提升等重大项目建设，加快常庄水库区域生态修复工程、花园口引黄干渠改造提升工程、西南区水系建设连通工程等项目前期工作。</w:t>
      </w:r>
    </w:p>
    <w:p w:rsidR="006F572C" w:rsidRDefault="00BD155E">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根据计划，郑州市2019年将全面建成贾鲁河综合治理（蓝线）工程、牛口峪引黄工程、环城生态水系循环工程等6个重大项目，基本建成贾鲁河综合治理生态绿化工程、登封石道农田水利现代化示范乡镇等重大项目。上述项目实施达效后，可形成水面1000万平方米，新增绿化面积1260万平方米，新增一般节水、高效节水灌溉面积7.8万亩。</w:t>
      </w:r>
    </w:p>
    <w:p w:rsidR="006F572C" w:rsidRDefault="00BD155E">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在生态绿化和环境治理方面，郑州年度计划安排11.9亿元，加快贾鲁河综合治理工程西流湖段、植物园二期、渠北公园、名师园等工程建设，争取年底前基本建成。市区新建绿地1000万平方米以上，新建公园、微公园和游园200个。</w:t>
      </w:r>
    </w:p>
    <w:p w:rsidR="006F572C" w:rsidRDefault="00BD155E">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2019年，郑州市将加快推进市第四中学高中部新校区（87个班规模）、第四十七中学高中部东校区（60个班规模）、第一中学航空港校区（66个班规模）、郑州财经技师学院新校区建设项目（在校生12000人规模）等8个重大项目建设，继续加大中小学奖补力度，年度安排资金4.5亿元。</w:t>
      </w:r>
    </w:p>
    <w:p w:rsidR="006F572C" w:rsidRDefault="00BD155E">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根据郑州市《计划（草案）》，2019年将安排投资计划30亿元,重点用于加快市民公共文化服务区“四个中心”项</w:t>
      </w:r>
      <w:r>
        <w:rPr>
          <w:rFonts w:ascii="仿宋" w:eastAsia="仿宋" w:hAnsi="仿宋" w:cs="仿宋" w:hint="eastAsia"/>
          <w:kern w:val="0"/>
          <w:sz w:val="32"/>
          <w:szCs w:val="32"/>
        </w:rPr>
        <w:lastRenderedPageBreak/>
        <w:t>目建设，确保如期投入使用，打造成为集体育赛事、科普教育、新闻宣传等多功能于一体的市级文化服务创新示范区。</w:t>
      </w:r>
    </w:p>
    <w:p w:rsidR="006F572C" w:rsidRDefault="00BD155E">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在卫生和就业社会保障方面，加快郑州市第八人民医院迁建、市第七人民医院滨河院区、市公共就业和人才综合服务市场等项目建设，力争市第三人民医院迁建（一期）、市老年公寓（郑州市养老服务中心）等项目完工，新增医疗床位3100张，新增养老床位1000个，新增公共就业和人才服务场所面积3万平方米。</w:t>
      </w:r>
    </w:p>
    <w:p w:rsidR="006F572C" w:rsidRDefault="00BD155E">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根据不同行业的投资比例，郑州市政府在城市建设方面的投资占比达到67.7%，年度投资计划596.5亿元。在“畅通郑州”工程方面，年度计划安排345.4亿元。轨道交通2号线二期工程等轨道交通工程建设9项，年度投资计划144亿元。</w:t>
      </w:r>
    </w:p>
    <w:p w:rsidR="006F572C" w:rsidRDefault="00BD155E">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四环线及大河路快速化等城市快速路工程4项，年度投资计划166亿元。市民公共文化服务区南区地下交通系统及地下空间等城市立交和隧道工程6项，年度投资计划24.8亿元。新龙路等城市主次干道、支线路网工程5项，年度投资计划9.2亿元。</w:t>
      </w:r>
    </w:p>
    <w:p w:rsidR="006F572C" w:rsidRDefault="00BD155E">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2019年，郑州市将以G310线郑州西南段改建工程（总投资54亿元）、S312线（G107东移至江山路段，匡算总投资25亿元）等重大项目为重点，加快外围道路建设，有效疏解货运车辆交通压力。持续推进公交都市建设，加快农业</w:t>
      </w:r>
      <w:r>
        <w:rPr>
          <w:rFonts w:ascii="仿宋" w:eastAsia="仿宋" w:hAnsi="仿宋" w:cs="仿宋" w:hint="eastAsia"/>
          <w:kern w:val="0"/>
          <w:sz w:val="32"/>
          <w:szCs w:val="32"/>
        </w:rPr>
        <w:lastRenderedPageBreak/>
        <w:t>路快速通道工程BRT无轨电车供电工程（总投资3.4亿元）、快速公交项目（匡算总投资12亿元）等公共交通项目建设。</w:t>
      </w:r>
    </w:p>
    <w:p w:rsidR="006F572C" w:rsidRDefault="00BD155E">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郑州市《计划（草案）》指出，郑州将以大气污染治理配套工程、港区外围交通路网、“公交都市”建设为重点，继续加大交通基础设施投资力度，重点抓好G234线郑州境G310线以南（荥阳乔楼至崔庙）、S317线郑州境（新郑机场至新密）等在建项目，焦平高速公路荥阳至新密段、S319线登封境等新开项目，加快G310线巩义境（米河镇至回郭镇）、G310线郑州开封交界至中牟县官渡镇等前期项目手续办理。</w:t>
      </w:r>
    </w:p>
    <w:p w:rsidR="006F572C" w:rsidRDefault="00BD155E">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根据计划，郑州市2019年G107东移至四港联动大道连接线、郑登快速通道采空区路面改造、机场高速公路航海路互通式立交改建工程等8个项目完工或基本完工，郑州高铁南站站场2019年9月底建成。</w:t>
      </w:r>
    </w:p>
    <w:p w:rsidR="006F572C" w:rsidRDefault="00BD155E">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根据宏观运行情况及相关政策因素判断，2019年全省固定资产投资有望企稳，鼓励消费的措施将陆续发挥作用，建材行业市场需求偏弱、总体平稳的宏观市场环境仍将持续；行业供给侧结构调整将加快，行业自律继续加强，行业市场供需有望保持动态平衡，价格相对平稳。在市场结构变化、政策环境、管理模式、生产要素等综合影响下，行业经济运行将呈现明显的波动性特征。</w:t>
      </w:r>
    </w:p>
    <w:p w:rsidR="006F572C" w:rsidRDefault="00BD155E">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综合判断，2019年我省建材行业总体将保持稳中有变的</w:t>
      </w:r>
      <w:r>
        <w:rPr>
          <w:rFonts w:ascii="仿宋" w:eastAsia="仿宋" w:hAnsi="仿宋" w:cs="仿宋" w:hint="eastAsia"/>
          <w:kern w:val="0"/>
          <w:sz w:val="32"/>
          <w:szCs w:val="32"/>
        </w:rPr>
        <w:lastRenderedPageBreak/>
        <w:t>发展格局，供给侧结构性改革、环保约束将成为两大关键因素，外部需求有所趋紧，市场风险有所积聚，波动性平稳运行特征明显。预计全年利润增长幅度呈现前低后高态势，年行业主营业务收入保持温和增长。</w:t>
      </w:r>
    </w:p>
    <w:p w:rsidR="006F572C" w:rsidRDefault="00BD155E">
      <w:pPr>
        <w:ind w:firstLineChars="200" w:firstLine="643"/>
        <w:outlineLvl w:val="0"/>
        <w:rPr>
          <w:rFonts w:ascii="仿宋" w:eastAsia="仿宋" w:hAnsi="仿宋" w:cs="仿宋"/>
          <w:bCs/>
          <w:sz w:val="32"/>
          <w:szCs w:val="32"/>
        </w:rPr>
      </w:pPr>
      <w:r>
        <w:rPr>
          <w:rFonts w:ascii="仿宋" w:eastAsia="仿宋" w:hAnsi="仿宋" w:cs="仿宋" w:hint="eastAsia"/>
          <w:b/>
          <w:sz w:val="32"/>
          <w:szCs w:val="32"/>
        </w:rPr>
        <w:t>六、2019年工作打算及措施建议</w:t>
      </w:r>
    </w:p>
    <w:p w:rsidR="006F572C" w:rsidRDefault="00BD155E">
      <w:pPr>
        <w:ind w:firstLineChars="200" w:firstLine="640"/>
        <w:outlineLvl w:val="0"/>
        <w:rPr>
          <w:rFonts w:ascii="仿宋" w:eastAsia="仿宋" w:hAnsi="仿宋" w:cs="仿宋"/>
          <w:bCs/>
          <w:sz w:val="32"/>
          <w:szCs w:val="32"/>
        </w:rPr>
      </w:pPr>
      <w:r>
        <w:rPr>
          <w:rFonts w:ascii="仿宋" w:eastAsia="仿宋" w:hAnsi="仿宋" w:cs="仿宋" w:hint="eastAsia"/>
          <w:bCs/>
          <w:sz w:val="32"/>
          <w:szCs w:val="32"/>
        </w:rPr>
        <w:t>坚决贯彻落实国办发34号文件精神，以销售生产为契机，推动供给侧改革，开展去产能、补短板、调结构、增效益一系列工作，加快推进河南省建材工业结构调整，促进我省建材工业健康持续发展。</w:t>
      </w:r>
    </w:p>
    <w:p w:rsidR="006F572C" w:rsidRDefault="00BD155E">
      <w:pPr>
        <w:ind w:firstLineChars="200" w:firstLine="640"/>
        <w:outlineLvl w:val="0"/>
        <w:rPr>
          <w:rFonts w:ascii="仿宋" w:eastAsia="仿宋" w:hAnsi="仿宋" w:cs="仿宋"/>
          <w:bCs/>
          <w:sz w:val="32"/>
          <w:szCs w:val="32"/>
        </w:rPr>
      </w:pPr>
      <w:r>
        <w:rPr>
          <w:rFonts w:ascii="仿宋" w:eastAsia="仿宋" w:hAnsi="仿宋" w:cs="仿宋" w:hint="eastAsia"/>
          <w:bCs/>
          <w:sz w:val="32"/>
          <w:szCs w:val="32"/>
        </w:rPr>
        <w:t>1.推动水泥错峰生产常态化</w:t>
      </w:r>
    </w:p>
    <w:p w:rsidR="006F572C" w:rsidRDefault="00BD155E">
      <w:pPr>
        <w:ind w:firstLineChars="200" w:firstLine="640"/>
        <w:outlineLvl w:val="0"/>
        <w:rPr>
          <w:rFonts w:ascii="仿宋" w:eastAsia="仿宋" w:hAnsi="仿宋" w:cs="仿宋"/>
          <w:bCs/>
          <w:sz w:val="32"/>
          <w:szCs w:val="32"/>
        </w:rPr>
      </w:pPr>
      <w:r>
        <w:rPr>
          <w:rFonts w:ascii="仿宋" w:eastAsia="仿宋" w:hAnsi="仿宋" w:cs="仿宋" w:hint="eastAsia"/>
          <w:bCs/>
          <w:sz w:val="32"/>
          <w:szCs w:val="32"/>
        </w:rPr>
        <w:t>目前开展的错峰生产活动是短期内化解产能过剩的有效办法，是为河南省建材工业下一步的结构调整在争取时间。</w:t>
      </w:r>
    </w:p>
    <w:p w:rsidR="006F572C" w:rsidRDefault="00BD155E">
      <w:pPr>
        <w:ind w:firstLineChars="200" w:firstLine="640"/>
        <w:outlineLvl w:val="0"/>
        <w:rPr>
          <w:rFonts w:ascii="仿宋" w:eastAsia="仿宋" w:hAnsi="仿宋" w:cs="仿宋"/>
          <w:bCs/>
          <w:sz w:val="32"/>
          <w:szCs w:val="32"/>
        </w:rPr>
      </w:pPr>
      <w:r>
        <w:rPr>
          <w:rFonts w:ascii="仿宋" w:eastAsia="仿宋" w:hAnsi="仿宋" w:cs="仿宋" w:hint="eastAsia"/>
          <w:bCs/>
          <w:sz w:val="32"/>
          <w:szCs w:val="32"/>
        </w:rPr>
        <w:t>加强水泥企业节能减排督查，建立错峰生产常态化的机制，冬季、夏季和秋季均应组织一次错峰生产、节能减排活动，开展行业自律行动，压低产能发挥，以此提高资源效率、减少污染物排放，通过自主减产避免水泥行业过度竞争，维护正常的市场环境。</w:t>
      </w:r>
    </w:p>
    <w:p w:rsidR="006F572C" w:rsidRDefault="00BD155E">
      <w:pPr>
        <w:ind w:firstLineChars="200" w:firstLine="640"/>
        <w:outlineLvl w:val="0"/>
        <w:rPr>
          <w:rFonts w:ascii="仿宋" w:eastAsia="仿宋" w:hAnsi="仿宋" w:cs="仿宋"/>
          <w:bCs/>
          <w:sz w:val="32"/>
          <w:szCs w:val="32"/>
        </w:rPr>
      </w:pPr>
      <w:r>
        <w:rPr>
          <w:rFonts w:ascii="仿宋" w:eastAsia="仿宋" w:hAnsi="仿宋" w:cs="仿宋" w:hint="eastAsia"/>
          <w:bCs/>
          <w:sz w:val="32"/>
          <w:szCs w:val="32"/>
        </w:rPr>
        <w:t>2.加快联合重组步伐</w:t>
      </w:r>
    </w:p>
    <w:p w:rsidR="006F572C" w:rsidRDefault="00BD155E">
      <w:pPr>
        <w:ind w:firstLineChars="200" w:firstLine="640"/>
        <w:outlineLvl w:val="0"/>
        <w:rPr>
          <w:rFonts w:ascii="仿宋" w:eastAsia="仿宋" w:hAnsi="仿宋" w:cs="仿宋"/>
          <w:bCs/>
          <w:sz w:val="32"/>
          <w:szCs w:val="32"/>
        </w:rPr>
      </w:pPr>
      <w:r>
        <w:rPr>
          <w:rFonts w:ascii="仿宋" w:eastAsia="仿宋" w:hAnsi="仿宋" w:cs="仿宋" w:hint="eastAsia"/>
          <w:bCs/>
          <w:sz w:val="32"/>
          <w:szCs w:val="32"/>
        </w:rPr>
        <w:t>认真贯彻落实《国务院办公厅关于推动中央企业结构调整与重组的指导意见》国办发（2016）56号文件精神，支持以中国建材为代表的中央大型建材企业在河南省建材行业</w:t>
      </w:r>
      <w:r>
        <w:rPr>
          <w:rFonts w:ascii="仿宋" w:eastAsia="仿宋" w:hAnsi="仿宋" w:cs="仿宋" w:hint="eastAsia"/>
          <w:bCs/>
          <w:sz w:val="32"/>
          <w:szCs w:val="32"/>
        </w:rPr>
        <w:lastRenderedPageBreak/>
        <w:t>进行兼并重组，提升我省产业结构；支持以天瑞集团为代表的我省民营企业以技术、管理、资源、资本、品牌为纽带，实施横向产业联合、跨所有制兼并重组，壮大企业规模，提高产业集中度和资源配置效率。</w:t>
      </w:r>
    </w:p>
    <w:p w:rsidR="006F572C" w:rsidRDefault="00BD155E">
      <w:pPr>
        <w:ind w:firstLineChars="200" w:firstLine="640"/>
        <w:outlineLvl w:val="0"/>
        <w:rPr>
          <w:rFonts w:ascii="仿宋" w:eastAsia="仿宋" w:hAnsi="仿宋" w:cs="仿宋"/>
          <w:bCs/>
          <w:sz w:val="32"/>
          <w:szCs w:val="32"/>
        </w:rPr>
      </w:pPr>
      <w:r>
        <w:rPr>
          <w:rFonts w:ascii="仿宋" w:eastAsia="仿宋" w:hAnsi="仿宋" w:cs="仿宋" w:hint="eastAsia"/>
          <w:bCs/>
          <w:sz w:val="32"/>
          <w:szCs w:val="32"/>
        </w:rPr>
        <w:t>联合重组、淘汰落后是化解产能过剩的根本办法，协会将和政府共同努力，积极推动河南省建材行业的兼并重组，将化解产能过剩工作落到实处。</w:t>
      </w:r>
    </w:p>
    <w:p w:rsidR="006F572C" w:rsidRDefault="00BD155E">
      <w:pPr>
        <w:ind w:firstLineChars="200" w:firstLine="640"/>
        <w:outlineLvl w:val="0"/>
        <w:rPr>
          <w:rFonts w:ascii="仿宋" w:eastAsia="仿宋" w:hAnsi="仿宋" w:cs="仿宋"/>
          <w:bCs/>
          <w:sz w:val="32"/>
          <w:szCs w:val="32"/>
        </w:rPr>
      </w:pPr>
      <w:r>
        <w:rPr>
          <w:rFonts w:ascii="仿宋" w:eastAsia="仿宋" w:hAnsi="仿宋" w:cs="仿宋" w:hint="eastAsia"/>
          <w:bCs/>
          <w:sz w:val="32"/>
          <w:szCs w:val="32"/>
        </w:rPr>
        <w:t>3.限制新增产能，淘汰落后产能</w:t>
      </w:r>
    </w:p>
    <w:p w:rsidR="006F572C" w:rsidRDefault="00BD155E">
      <w:pPr>
        <w:ind w:firstLineChars="200" w:firstLine="640"/>
        <w:outlineLvl w:val="0"/>
        <w:rPr>
          <w:rFonts w:ascii="仿宋" w:eastAsia="仿宋" w:hAnsi="仿宋" w:cs="仿宋"/>
          <w:bCs/>
          <w:sz w:val="32"/>
          <w:szCs w:val="32"/>
        </w:rPr>
      </w:pPr>
      <w:r>
        <w:rPr>
          <w:rFonts w:ascii="仿宋" w:eastAsia="仿宋" w:hAnsi="仿宋" w:cs="仿宋" w:hint="eastAsia"/>
          <w:bCs/>
          <w:sz w:val="32"/>
          <w:szCs w:val="32"/>
        </w:rPr>
        <w:t>加强行业管理，积极向政府提出行业建议，从政策上建立和完善落后产能退出机制，彻底淘汰落后建材工业产能。停止水泥企业任何增加产量的新建、扩建和改建项目的核准备案及建设，坚决杜绝用新增来弥补被淘汰的量，走水泥行业减量化发展之路。</w:t>
      </w:r>
    </w:p>
    <w:p w:rsidR="006F572C" w:rsidRDefault="00BD155E">
      <w:pPr>
        <w:ind w:firstLineChars="200" w:firstLine="640"/>
        <w:outlineLvl w:val="0"/>
        <w:rPr>
          <w:rFonts w:ascii="仿宋" w:eastAsia="仿宋" w:hAnsi="仿宋" w:cs="仿宋"/>
          <w:bCs/>
          <w:sz w:val="32"/>
          <w:szCs w:val="32"/>
        </w:rPr>
      </w:pPr>
      <w:r>
        <w:rPr>
          <w:rFonts w:ascii="仿宋" w:eastAsia="仿宋" w:hAnsi="仿宋" w:cs="仿宋" w:hint="eastAsia"/>
          <w:bCs/>
          <w:sz w:val="32"/>
          <w:szCs w:val="32"/>
        </w:rPr>
        <w:t>4.加强行业自律，创新发展模式</w:t>
      </w:r>
    </w:p>
    <w:p w:rsidR="006F572C" w:rsidRDefault="00BD155E">
      <w:pPr>
        <w:ind w:firstLineChars="200" w:firstLine="640"/>
        <w:outlineLvl w:val="0"/>
        <w:rPr>
          <w:rFonts w:ascii="仿宋" w:eastAsia="仿宋" w:hAnsi="仿宋" w:cs="仿宋"/>
          <w:bCs/>
          <w:sz w:val="32"/>
          <w:szCs w:val="32"/>
        </w:rPr>
      </w:pPr>
      <w:r>
        <w:rPr>
          <w:rFonts w:ascii="仿宋" w:eastAsia="仿宋" w:hAnsi="仿宋" w:cs="仿宋" w:hint="eastAsia"/>
          <w:bCs/>
          <w:sz w:val="32"/>
          <w:szCs w:val="32"/>
        </w:rPr>
        <w:t xml:space="preserve">建材企业要承担起环境社会责任，自觉履行节能减排职责，转变企业经济发展方式，创新企业发展模式。要充分发挥行业协会的桥梁纽带作用，加强行业自律，加强行业协同，走合作共赢的健康可持续发展道路。 </w:t>
      </w:r>
    </w:p>
    <w:p w:rsidR="006F572C" w:rsidRDefault="00BD155E">
      <w:pPr>
        <w:ind w:firstLineChars="200" w:firstLine="640"/>
        <w:outlineLvl w:val="0"/>
        <w:rPr>
          <w:rFonts w:ascii="仿宋" w:eastAsia="仿宋" w:hAnsi="仿宋" w:cs="仿宋"/>
          <w:bCs/>
          <w:sz w:val="32"/>
          <w:szCs w:val="32"/>
        </w:rPr>
      </w:pPr>
      <w:r>
        <w:rPr>
          <w:rFonts w:ascii="仿宋" w:eastAsia="仿宋" w:hAnsi="仿宋" w:cs="仿宋" w:hint="eastAsia"/>
          <w:bCs/>
          <w:sz w:val="32"/>
          <w:szCs w:val="32"/>
        </w:rPr>
        <w:t>5.向生态产业转型</w:t>
      </w:r>
    </w:p>
    <w:p w:rsidR="006F572C" w:rsidRDefault="00BD155E">
      <w:pPr>
        <w:ind w:firstLineChars="200" w:firstLine="640"/>
        <w:outlineLvl w:val="0"/>
        <w:rPr>
          <w:rFonts w:ascii="仿宋" w:eastAsia="仿宋" w:hAnsi="仿宋" w:cs="仿宋"/>
          <w:bCs/>
          <w:sz w:val="32"/>
          <w:szCs w:val="32"/>
        </w:rPr>
      </w:pPr>
      <w:r>
        <w:rPr>
          <w:rFonts w:ascii="仿宋" w:eastAsia="仿宋" w:hAnsi="仿宋" w:cs="仿宋" w:hint="eastAsia"/>
          <w:bCs/>
          <w:sz w:val="32"/>
          <w:szCs w:val="32"/>
        </w:rPr>
        <w:t>传统建材工业向生态化转型既是新的形势下建材行业社会责任的体现，也是河南省经济发展的迫切要求。在水泥行业要积极推广水泥窑协同处置技术和氮氧化物超低排放</w:t>
      </w:r>
      <w:r>
        <w:rPr>
          <w:rFonts w:ascii="仿宋" w:eastAsia="仿宋" w:hAnsi="仿宋" w:cs="仿宋" w:hint="eastAsia"/>
          <w:bCs/>
          <w:sz w:val="32"/>
          <w:szCs w:val="32"/>
        </w:rPr>
        <w:lastRenderedPageBreak/>
        <w:t>治理技术。建材企业要积极承担因城市发展而产生的废物处置任务，把建材企业逐步转变成—为政府分忧解愁的低碳环保型企业。</w:t>
      </w:r>
    </w:p>
    <w:p w:rsidR="006F572C" w:rsidRDefault="00BD155E">
      <w:pPr>
        <w:ind w:firstLineChars="200" w:firstLine="640"/>
        <w:outlineLvl w:val="0"/>
        <w:rPr>
          <w:rFonts w:ascii="仿宋" w:eastAsia="仿宋" w:hAnsi="仿宋" w:cs="仿宋"/>
          <w:bCs/>
          <w:sz w:val="32"/>
          <w:szCs w:val="32"/>
        </w:rPr>
      </w:pPr>
      <w:r>
        <w:rPr>
          <w:rFonts w:ascii="仿宋" w:eastAsia="仿宋" w:hAnsi="仿宋" w:cs="仿宋" w:hint="eastAsia"/>
          <w:bCs/>
          <w:sz w:val="32"/>
          <w:szCs w:val="32"/>
        </w:rPr>
        <w:t>6.延伸产业链</w:t>
      </w:r>
    </w:p>
    <w:p w:rsidR="006F572C" w:rsidRDefault="00BD155E">
      <w:pPr>
        <w:ind w:firstLineChars="200" w:firstLine="640"/>
        <w:outlineLvl w:val="0"/>
        <w:rPr>
          <w:rFonts w:ascii="仿宋" w:eastAsia="仿宋" w:hAnsi="仿宋" w:cs="仿宋"/>
          <w:bCs/>
          <w:sz w:val="32"/>
          <w:szCs w:val="32"/>
        </w:rPr>
      </w:pPr>
      <w:r>
        <w:rPr>
          <w:rFonts w:ascii="仿宋" w:eastAsia="仿宋" w:hAnsi="仿宋" w:cs="仿宋" w:hint="eastAsia"/>
          <w:bCs/>
          <w:sz w:val="32"/>
          <w:szCs w:val="32"/>
        </w:rPr>
        <w:t>受产能过剩和节能减排的双重压力，建材企业自身的发展空间极为有限，向全产业链发展成为必然选择。目前，水泥制品构件化是水泥企业延伸产业链的重要方向，水泥产品大型构件化、集成化、模式化，可以极大提高水泥产品的附加值。住建部出台的《“十三五”装配式建筑行动方案》明确提出了两个总目标：到2020年，全国装配式建筑占新建建筑的比例达到15%以上，其中重点推进地区达到20%以上，积极推进地区达到15%以上，鼓励推进地区达到10%以上；到2020年，培育50个以上装配式建筑示范城市，200个以上装配式建筑产业基地，500个以上装配式建筑示范工程，建设30个以上装配式建筑科技创新基地，充分发挥示范引领和带动作用。水泥制品构件化是新型绿色环保建材工业生产模式，有良好的发展前景。因此，产业链向水泥制品和建筑部品延伸，应成为未来河南建材企业发展的共识和主要着力点。</w:t>
      </w:r>
    </w:p>
    <w:p w:rsidR="006F572C" w:rsidRDefault="00BD155E">
      <w:pPr>
        <w:ind w:firstLineChars="200" w:firstLine="640"/>
        <w:outlineLvl w:val="0"/>
        <w:rPr>
          <w:rFonts w:ascii="仿宋" w:eastAsia="仿宋" w:hAnsi="仿宋" w:cs="仿宋"/>
          <w:bCs/>
          <w:sz w:val="32"/>
          <w:szCs w:val="32"/>
        </w:rPr>
      </w:pPr>
      <w:r>
        <w:rPr>
          <w:rFonts w:ascii="仿宋" w:eastAsia="仿宋" w:hAnsi="仿宋" w:cs="仿宋" w:hint="eastAsia"/>
          <w:bCs/>
          <w:sz w:val="32"/>
          <w:szCs w:val="32"/>
        </w:rPr>
        <w:t>7.采用先进标准引领建材产品的高质量发展</w:t>
      </w:r>
    </w:p>
    <w:p w:rsidR="006F572C" w:rsidRDefault="00BD155E">
      <w:pPr>
        <w:ind w:firstLineChars="200" w:firstLine="640"/>
        <w:outlineLvl w:val="0"/>
        <w:rPr>
          <w:rFonts w:ascii="仿宋" w:eastAsia="仿宋" w:hAnsi="仿宋" w:cs="仿宋"/>
          <w:bCs/>
          <w:sz w:val="32"/>
          <w:szCs w:val="32"/>
        </w:rPr>
      </w:pPr>
      <w:r>
        <w:rPr>
          <w:rFonts w:ascii="仿宋" w:eastAsia="仿宋" w:hAnsi="仿宋" w:cs="仿宋" w:hint="eastAsia"/>
          <w:bCs/>
          <w:sz w:val="32"/>
          <w:szCs w:val="32"/>
        </w:rPr>
        <w:t>先进标准是行业高质量发展的基础，产品的高质量必须靠先进标准来引领、靠先进技术来支撑、靠质量监管人的职</w:t>
      </w:r>
      <w:r>
        <w:rPr>
          <w:rFonts w:ascii="仿宋" w:eastAsia="仿宋" w:hAnsi="仿宋" w:cs="仿宋" w:hint="eastAsia"/>
          <w:bCs/>
          <w:sz w:val="32"/>
          <w:szCs w:val="32"/>
        </w:rPr>
        <w:lastRenderedPageBreak/>
        <w:t>业精神来保障。标准化是引领建材工业产品高质量发展的引擎。</w:t>
      </w:r>
    </w:p>
    <w:p w:rsidR="006F572C" w:rsidRDefault="00BD155E">
      <w:pPr>
        <w:ind w:firstLineChars="200" w:firstLine="640"/>
        <w:outlineLvl w:val="0"/>
        <w:rPr>
          <w:rFonts w:ascii="仿宋" w:eastAsia="仿宋" w:hAnsi="仿宋" w:cs="仿宋"/>
          <w:bCs/>
          <w:sz w:val="32"/>
          <w:szCs w:val="32"/>
        </w:rPr>
      </w:pPr>
      <w:r>
        <w:rPr>
          <w:rFonts w:ascii="仿宋" w:eastAsia="仿宋" w:hAnsi="仿宋" w:cs="仿宋" w:hint="eastAsia"/>
          <w:bCs/>
          <w:sz w:val="32"/>
          <w:szCs w:val="32"/>
        </w:rPr>
        <w:t>我们要积极采用世界领先的建材标准系列，全面提升产品安全、绿色、低碳功能，促进产品生产过程中的能效、环保、资源综合利用水平的提高。</w:t>
      </w:r>
    </w:p>
    <w:p w:rsidR="006F572C" w:rsidRDefault="00BD155E">
      <w:pPr>
        <w:ind w:firstLineChars="200" w:firstLine="640"/>
        <w:outlineLvl w:val="0"/>
        <w:rPr>
          <w:rFonts w:ascii="仿宋" w:eastAsia="仿宋" w:hAnsi="仿宋" w:cs="仿宋"/>
          <w:bCs/>
          <w:sz w:val="32"/>
          <w:szCs w:val="32"/>
        </w:rPr>
      </w:pPr>
      <w:r>
        <w:rPr>
          <w:rFonts w:ascii="仿宋" w:eastAsia="仿宋" w:hAnsi="仿宋" w:cs="仿宋" w:hint="eastAsia"/>
          <w:bCs/>
          <w:sz w:val="32"/>
          <w:szCs w:val="32"/>
        </w:rPr>
        <w:t>8.积极支持企业参与政府组织的对标达标专项行动</w:t>
      </w:r>
    </w:p>
    <w:p w:rsidR="006F572C" w:rsidRDefault="00BD155E">
      <w:pPr>
        <w:ind w:firstLineChars="200" w:firstLine="640"/>
        <w:outlineLvl w:val="0"/>
        <w:rPr>
          <w:rFonts w:ascii="仿宋" w:eastAsia="仿宋" w:hAnsi="仿宋" w:cs="仿宋"/>
          <w:bCs/>
          <w:sz w:val="32"/>
          <w:szCs w:val="32"/>
        </w:rPr>
      </w:pPr>
      <w:r>
        <w:rPr>
          <w:rFonts w:ascii="仿宋" w:eastAsia="仿宋" w:hAnsi="仿宋" w:cs="仿宋" w:hint="eastAsia"/>
          <w:bCs/>
          <w:sz w:val="32"/>
          <w:szCs w:val="32"/>
        </w:rPr>
        <w:t>引导企业对标先进标准，提升技术和管理水平，提高产品和服务质量，以先进标准引领质量提升。通过达标提升，甚至创标引领，打造一批企业标准领跑者，培育一批具有创新能力的排头兵企业。鼓励大企业瞄准国际先进标准对标，提高建材产品的国际竞争力，为培育河南省建材企业的跨国公司奠定基础。</w:t>
      </w:r>
    </w:p>
    <w:p w:rsidR="006F572C" w:rsidRDefault="00BD155E">
      <w:pPr>
        <w:ind w:firstLineChars="200" w:firstLine="640"/>
        <w:outlineLvl w:val="0"/>
        <w:rPr>
          <w:rFonts w:ascii="仿宋" w:eastAsia="仿宋" w:hAnsi="仿宋" w:cs="仿宋"/>
          <w:bCs/>
          <w:sz w:val="32"/>
          <w:szCs w:val="32"/>
        </w:rPr>
      </w:pPr>
      <w:r>
        <w:rPr>
          <w:rFonts w:ascii="仿宋" w:eastAsia="仿宋" w:hAnsi="仿宋" w:cs="仿宋" w:hint="eastAsia"/>
          <w:bCs/>
          <w:sz w:val="32"/>
          <w:szCs w:val="32"/>
        </w:rPr>
        <w:t>9.以智能化提升建材产品质量检验和质量管理的创新能力</w:t>
      </w:r>
    </w:p>
    <w:p w:rsidR="006F572C" w:rsidRDefault="00BD155E">
      <w:pPr>
        <w:ind w:firstLineChars="200" w:firstLine="640"/>
        <w:outlineLvl w:val="0"/>
        <w:rPr>
          <w:rFonts w:ascii="仿宋" w:eastAsia="仿宋" w:hAnsi="仿宋" w:cs="仿宋"/>
          <w:bCs/>
          <w:sz w:val="32"/>
          <w:szCs w:val="32"/>
        </w:rPr>
      </w:pPr>
      <w:r>
        <w:rPr>
          <w:rFonts w:ascii="仿宋" w:eastAsia="仿宋" w:hAnsi="仿宋" w:cs="仿宋" w:hint="eastAsia"/>
          <w:bCs/>
          <w:sz w:val="32"/>
          <w:szCs w:val="32"/>
        </w:rPr>
        <w:t>数字化智能化技术促使质量检验检测和生产管理方式发生转变，这对建材企业提高产品性能及生产率、降低生产成本及整个生产周期成本起着重要作用。互联网+智能化将使检验检测人员从繁重、危险、重复性劳动中解放出来，既提高了检验检测精准度，又加强了对人的保护，有效避免了危险的发生，体现了对人性的关心。企业需要建立新的生产方式、商业模式、供应链以及运营体系来创造出更高的商业价值和竞争优势。智能化是保障水泥产品高质量的现代化手</w:t>
      </w:r>
      <w:r>
        <w:rPr>
          <w:rFonts w:ascii="仿宋" w:eastAsia="仿宋" w:hAnsi="仿宋" w:cs="仿宋" w:hint="eastAsia"/>
          <w:bCs/>
          <w:sz w:val="32"/>
          <w:szCs w:val="32"/>
        </w:rPr>
        <w:lastRenderedPageBreak/>
        <w:t>段。先进标准+物联网+互联网+智能化改变着建材生产、流通、管理，也改变着检验检测机构的组织模式，改变着世界和我们每一个人。</w:t>
      </w:r>
    </w:p>
    <w:p w:rsidR="006F572C" w:rsidRDefault="00BD155E">
      <w:pPr>
        <w:ind w:firstLineChars="200" w:firstLine="640"/>
        <w:outlineLvl w:val="0"/>
        <w:rPr>
          <w:rFonts w:ascii="仿宋" w:eastAsia="仿宋" w:hAnsi="仿宋" w:cs="仿宋"/>
          <w:bCs/>
          <w:sz w:val="32"/>
          <w:szCs w:val="32"/>
        </w:rPr>
      </w:pPr>
      <w:r>
        <w:rPr>
          <w:rFonts w:ascii="仿宋" w:eastAsia="仿宋" w:hAnsi="仿宋" w:cs="仿宋" w:hint="eastAsia"/>
          <w:bCs/>
          <w:sz w:val="32"/>
          <w:szCs w:val="32"/>
        </w:rPr>
        <w:t>今后，河南省建筑材料工业协会将继续在国家政府部门、中国建筑材料联合会的指导下，认真落实“引领、协调、服务”宗旨，带动全省建材行业自觉落实贯彻国办发〔2016〕34号文件精神，着力解决建材行业具有共性的突出问题和关键问题，加快淘汰落后，推进供给侧改革，推进去产能、补短板、调结构、强自律、增效益工作进展，为建材行业的健康、可持续发展及国家大气污染治理工作作出新的贡献！</w:t>
      </w:r>
    </w:p>
    <w:p w:rsidR="006F572C" w:rsidRDefault="006F572C">
      <w:pPr>
        <w:outlineLvl w:val="0"/>
        <w:rPr>
          <w:rFonts w:ascii="仿宋" w:eastAsia="仿宋" w:hAnsi="仿宋" w:cs="仿宋"/>
          <w:bCs/>
          <w:sz w:val="32"/>
          <w:szCs w:val="32"/>
        </w:rPr>
      </w:pPr>
    </w:p>
    <w:p w:rsidR="006F572C" w:rsidRDefault="006F572C">
      <w:pPr>
        <w:ind w:firstLineChars="200" w:firstLine="640"/>
        <w:rPr>
          <w:rFonts w:ascii="仿宋" w:eastAsia="仿宋" w:hAnsi="仿宋" w:cs="仿宋"/>
          <w:kern w:val="0"/>
          <w:sz w:val="32"/>
          <w:szCs w:val="32"/>
        </w:rPr>
      </w:pPr>
    </w:p>
    <w:p w:rsidR="006F572C" w:rsidRDefault="006F572C">
      <w:pPr>
        <w:ind w:firstLineChars="200" w:firstLine="640"/>
        <w:rPr>
          <w:rFonts w:ascii="仿宋" w:eastAsia="仿宋" w:hAnsi="仿宋" w:cs="仿宋"/>
          <w:kern w:val="0"/>
          <w:sz w:val="32"/>
          <w:szCs w:val="32"/>
        </w:rPr>
      </w:pPr>
    </w:p>
    <w:p w:rsidR="006F572C" w:rsidRDefault="00BD155E">
      <w:pPr>
        <w:wordWrap w:val="0"/>
        <w:spacing w:line="600" w:lineRule="exact"/>
        <w:ind w:right="480" w:firstLineChars="200" w:firstLine="640"/>
        <w:jc w:val="right"/>
        <w:rPr>
          <w:rFonts w:ascii="仿宋" w:eastAsia="仿宋" w:hAnsi="仿宋" w:cs="仿宋"/>
          <w:sz w:val="32"/>
          <w:szCs w:val="32"/>
        </w:rPr>
      </w:pPr>
      <w:r>
        <w:rPr>
          <w:rFonts w:ascii="仿宋" w:eastAsia="仿宋" w:hAnsi="仿宋" w:cs="仿宋" w:hint="eastAsia"/>
          <w:sz w:val="32"/>
          <w:szCs w:val="32"/>
        </w:rPr>
        <w:t xml:space="preserve"> 河南省建筑材料工业协会</w:t>
      </w:r>
    </w:p>
    <w:p w:rsidR="006F572C" w:rsidRDefault="00BD155E">
      <w:pPr>
        <w:spacing w:line="600" w:lineRule="exact"/>
        <w:ind w:right="960" w:firstLineChars="200" w:firstLine="640"/>
        <w:jc w:val="right"/>
        <w:rPr>
          <w:rFonts w:ascii="仿宋" w:eastAsia="仿宋" w:hAnsi="仿宋" w:cs="仿宋"/>
          <w:sz w:val="32"/>
          <w:szCs w:val="32"/>
        </w:rPr>
      </w:pPr>
      <w:r>
        <w:rPr>
          <w:rFonts w:ascii="仿宋" w:eastAsia="仿宋" w:hAnsi="仿宋" w:cs="仿宋" w:hint="eastAsia"/>
          <w:sz w:val="32"/>
          <w:szCs w:val="32"/>
        </w:rPr>
        <w:t>2019年1月10日</w:t>
      </w:r>
    </w:p>
    <w:sectPr w:rsidR="006F572C" w:rsidSect="006F572C">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3DD" w:rsidRDefault="00D923DD" w:rsidP="006F572C">
      <w:r>
        <w:separator/>
      </w:r>
    </w:p>
  </w:endnote>
  <w:endnote w:type="continuationSeparator" w:id="1">
    <w:p w:rsidR="00D923DD" w:rsidRDefault="00D923DD" w:rsidP="006F57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4066"/>
    </w:sdtPr>
    <w:sdtEndPr>
      <w:rPr>
        <w:sz w:val="21"/>
        <w:szCs w:val="21"/>
      </w:rPr>
    </w:sdtEndPr>
    <w:sdtContent>
      <w:p w:rsidR="006F572C" w:rsidRDefault="00F936AE">
        <w:pPr>
          <w:pStyle w:val="a4"/>
          <w:jc w:val="center"/>
        </w:pPr>
        <w:r>
          <w:rPr>
            <w:sz w:val="21"/>
            <w:szCs w:val="21"/>
          </w:rPr>
          <w:fldChar w:fldCharType="begin"/>
        </w:r>
        <w:r w:rsidR="00BD155E">
          <w:rPr>
            <w:sz w:val="21"/>
            <w:szCs w:val="21"/>
          </w:rPr>
          <w:instrText xml:space="preserve"> PAGE   \* MERGEFORMAT </w:instrText>
        </w:r>
        <w:r>
          <w:rPr>
            <w:sz w:val="21"/>
            <w:szCs w:val="21"/>
          </w:rPr>
          <w:fldChar w:fldCharType="separate"/>
        </w:r>
        <w:r w:rsidR="00626FF8" w:rsidRPr="00626FF8">
          <w:rPr>
            <w:noProof/>
            <w:sz w:val="21"/>
            <w:szCs w:val="21"/>
            <w:lang w:val="zh-CN"/>
          </w:rPr>
          <w:t>1</w:t>
        </w:r>
        <w:r>
          <w:rPr>
            <w:sz w:val="21"/>
            <w:szCs w:val="21"/>
          </w:rPr>
          <w:fldChar w:fldCharType="end"/>
        </w:r>
      </w:p>
    </w:sdtContent>
  </w:sdt>
  <w:p w:rsidR="006F572C" w:rsidRDefault="006F572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3DD" w:rsidRDefault="00D923DD" w:rsidP="006F572C">
      <w:r>
        <w:separator/>
      </w:r>
    </w:p>
  </w:footnote>
  <w:footnote w:type="continuationSeparator" w:id="1">
    <w:p w:rsidR="00D923DD" w:rsidRDefault="00D923DD" w:rsidP="006F57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9BE5B0"/>
    <w:multiLevelType w:val="singleLevel"/>
    <w:tmpl w:val="AD9BE5B0"/>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bordersDoNotSurroundHeader/>
  <w:bordersDoNotSurroundFooter/>
  <w:defaultTabStop w:val="420"/>
  <w:drawingGridHorizontalSpacing w:val="105"/>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358EC"/>
    <w:rsid w:val="00006FD3"/>
    <w:rsid w:val="000314AA"/>
    <w:rsid w:val="00031CE8"/>
    <w:rsid w:val="00033BD8"/>
    <w:rsid w:val="00044805"/>
    <w:rsid w:val="00052990"/>
    <w:rsid w:val="000619BD"/>
    <w:rsid w:val="000676D1"/>
    <w:rsid w:val="000710C1"/>
    <w:rsid w:val="000862B4"/>
    <w:rsid w:val="00090E34"/>
    <w:rsid w:val="000A4587"/>
    <w:rsid w:val="000A7BFA"/>
    <w:rsid w:val="000B0D65"/>
    <w:rsid w:val="000B1A26"/>
    <w:rsid w:val="000C0161"/>
    <w:rsid w:val="000C3761"/>
    <w:rsid w:val="000C7FBE"/>
    <w:rsid w:val="000D19BB"/>
    <w:rsid w:val="000D1E27"/>
    <w:rsid w:val="000D39CE"/>
    <w:rsid w:val="000D3FE2"/>
    <w:rsid w:val="000D4B75"/>
    <w:rsid w:val="000E3705"/>
    <w:rsid w:val="000F0F90"/>
    <w:rsid w:val="000F173C"/>
    <w:rsid w:val="000F6646"/>
    <w:rsid w:val="00104978"/>
    <w:rsid w:val="00122294"/>
    <w:rsid w:val="00124B4C"/>
    <w:rsid w:val="00136E83"/>
    <w:rsid w:val="001424A4"/>
    <w:rsid w:val="00155231"/>
    <w:rsid w:val="001557E0"/>
    <w:rsid w:val="001627E8"/>
    <w:rsid w:val="0016423D"/>
    <w:rsid w:val="001675DB"/>
    <w:rsid w:val="001704B9"/>
    <w:rsid w:val="001744BF"/>
    <w:rsid w:val="00174C83"/>
    <w:rsid w:val="00175259"/>
    <w:rsid w:val="001806A7"/>
    <w:rsid w:val="0018152B"/>
    <w:rsid w:val="00187D9A"/>
    <w:rsid w:val="0019172B"/>
    <w:rsid w:val="00192205"/>
    <w:rsid w:val="001936A1"/>
    <w:rsid w:val="0019378A"/>
    <w:rsid w:val="001943D1"/>
    <w:rsid w:val="0019787A"/>
    <w:rsid w:val="001A57A0"/>
    <w:rsid w:val="001A5F76"/>
    <w:rsid w:val="001B1FEE"/>
    <w:rsid w:val="001B2059"/>
    <w:rsid w:val="001C6D26"/>
    <w:rsid w:val="001D13D4"/>
    <w:rsid w:val="001D3725"/>
    <w:rsid w:val="001E00E2"/>
    <w:rsid w:val="001E17EB"/>
    <w:rsid w:val="001E4103"/>
    <w:rsid w:val="001F4627"/>
    <w:rsid w:val="001F7C6C"/>
    <w:rsid w:val="00204DCD"/>
    <w:rsid w:val="00215C9D"/>
    <w:rsid w:val="00217F43"/>
    <w:rsid w:val="00223B39"/>
    <w:rsid w:val="00227D56"/>
    <w:rsid w:val="00234893"/>
    <w:rsid w:val="00237AB2"/>
    <w:rsid w:val="00243944"/>
    <w:rsid w:val="00251D1F"/>
    <w:rsid w:val="0025500B"/>
    <w:rsid w:val="00260097"/>
    <w:rsid w:val="00261EE3"/>
    <w:rsid w:val="002752EB"/>
    <w:rsid w:val="00293772"/>
    <w:rsid w:val="002945CA"/>
    <w:rsid w:val="002A76F9"/>
    <w:rsid w:val="002B6038"/>
    <w:rsid w:val="002C2D77"/>
    <w:rsid w:val="002D2B75"/>
    <w:rsid w:val="002F5073"/>
    <w:rsid w:val="002F766D"/>
    <w:rsid w:val="003031A9"/>
    <w:rsid w:val="00305B5C"/>
    <w:rsid w:val="00305DBE"/>
    <w:rsid w:val="003077C8"/>
    <w:rsid w:val="0031074C"/>
    <w:rsid w:val="003129F2"/>
    <w:rsid w:val="00315447"/>
    <w:rsid w:val="00332369"/>
    <w:rsid w:val="00332590"/>
    <w:rsid w:val="003337B5"/>
    <w:rsid w:val="003358EC"/>
    <w:rsid w:val="0034182C"/>
    <w:rsid w:val="003452E8"/>
    <w:rsid w:val="00347782"/>
    <w:rsid w:val="003547D9"/>
    <w:rsid w:val="00355A5C"/>
    <w:rsid w:val="00374149"/>
    <w:rsid w:val="00383048"/>
    <w:rsid w:val="003907A8"/>
    <w:rsid w:val="003A7D76"/>
    <w:rsid w:val="003C6EC1"/>
    <w:rsid w:val="003D2407"/>
    <w:rsid w:val="003D4355"/>
    <w:rsid w:val="003D521F"/>
    <w:rsid w:val="003D5A80"/>
    <w:rsid w:val="003E12FF"/>
    <w:rsid w:val="003E1AE3"/>
    <w:rsid w:val="003E22D0"/>
    <w:rsid w:val="003E5A46"/>
    <w:rsid w:val="00400BEA"/>
    <w:rsid w:val="00402937"/>
    <w:rsid w:val="00406C53"/>
    <w:rsid w:val="00413576"/>
    <w:rsid w:val="00415830"/>
    <w:rsid w:val="00427B0C"/>
    <w:rsid w:val="00434F9B"/>
    <w:rsid w:val="004429A9"/>
    <w:rsid w:val="00453E30"/>
    <w:rsid w:val="00461802"/>
    <w:rsid w:val="004717D0"/>
    <w:rsid w:val="00473A9D"/>
    <w:rsid w:val="004B6AB8"/>
    <w:rsid w:val="004B71F1"/>
    <w:rsid w:val="004C4918"/>
    <w:rsid w:val="004E1D82"/>
    <w:rsid w:val="004E44EA"/>
    <w:rsid w:val="004E5250"/>
    <w:rsid w:val="004F098E"/>
    <w:rsid w:val="004F2772"/>
    <w:rsid w:val="004F5DC6"/>
    <w:rsid w:val="005073F9"/>
    <w:rsid w:val="00512051"/>
    <w:rsid w:val="005169D7"/>
    <w:rsid w:val="005175A3"/>
    <w:rsid w:val="0052242E"/>
    <w:rsid w:val="00522FB4"/>
    <w:rsid w:val="00543DE6"/>
    <w:rsid w:val="00544E8F"/>
    <w:rsid w:val="00545918"/>
    <w:rsid w:val="00545C45"/>
    <w:rsid w:val="00547A08"/>
    <w:rsid w:val="00555883"/>
    <w:rsid w:val="005605F0"/>
    <w:rsid w:val="00564241"/>
    <w:rsid w:val="00575B29"/>
    <w:rsid w:val="00590615"/>
    <w:rsid w:val="005922E5"/>
    <w:rsid w:val="00593851"/>
    <w:rsid w:val="00596103"/>
    <w:rsid w:val="0059612D"/>
    <w:rsid w:val="005A0DD4"/>
    <w:rsid w:val="005B4848"/>
    <w:rsid w:val="005C1956"/>
    <w:rsid w:val="005C716E"/>
    <w:rsid w:val="005D37FB"/>
    <w:rsid w:val="005E1874"/>
    <w:rsid w:val="005E354F"/>
    <w:rsid w:val="005F106B"/>
    <w:rsid w:val="00611EF6"/>
    <w:rsid w:val="0062070A"/>
    <w:rsid w:val="0062294C"/>
    <w:rsid w:val="00626E59"/>
    <w:rsid w:val="00626FF8"/>
    <w:rsid w:val="006270BE"/>
    <w:rsid w:val="006311A2"/>
    <w:rsid w:val="00636714"/>
    <w:rsid w:val="00637459"/>
    <w:rsid w:val="00640282"/>
    <w:rsid w:val="00643453"/>
    <w:rsid w:val="00657E31"/>
    <w:rsid w:val="00671C4D"/>
    <w:rsid w:val="00672709"/>
    <w:rsid w:val="00677626"/>
    <w:rsid w:val="00681AB2"/>
    <w:rsid w:val="006869C1"/>
    <w:rsid w:val="006A10A1"/>
    <w:rsid w:val="006A1612"/>
    <w:rsid w:val="006A1650"/>
    <w:rsid w:val="006A273E"/>
    <w:rsid w:val="006A2CF8"/>
    <w:rsid w:val="006A5D32"/>
    <w:rsid w:val="006A77F9"/>
    <w:rsid w:val="006B1904"/>
    <w:rsid w:val="006B1F28"/>
    <w:rsid w:val="006B48F7"/>
    <w:rsid w:val="006B7B1E"/>
    <w:rsid w:val="006C3F6D"/>
    <w:rsid w:val="006D313C"/>
    <w:rsid w:val="006D68E7"/>
    <w:rsid w:val="006E038D"/>
    <w:rsid w:val="006F0922"/>
    <w:rsid w:val="006F572C"/>
    <w:rsid w:val="00703D7E"/>
    <w:rsid w:val="00703FDE"/>
    <w:rsid w:val="007119A0"/>
    <w:rsid w:val="00711AE9"/>
    <w:rsid w:val="00717EFC"/>
    <w:rsid w:val="007271E8"/>
    <w:rsid w:val="007401E5"/>
    <w:rsid w:val="00745EC8"/>
    <w:rsid w:val="0075363C"/>
    <w:rsid w:val="00756B86"/>
    <w:rsid w:val="0076275F"/>
    <w:rsid w:val="007670FC"/>
    <w:rsid w:val="007702F5"/>
    <w:rsid w:val="007705CA"/>
    <w:rsid w:val="00770977"/>
    <w:rsid w:val="00784A54"/>
    <w:rsid w:val="00785EF6"/>
    <w:rsid w:val="007919B8"/>
    <w:rsid w:val="007A0205"/>
    <w:rsid w:val="007A4B12"/>
    <w:rsid w:val="007A4FCE"/>
    <w:rsid w:val="007A7509"/>
    <w:rsid w:val="007C2110"/>
    <w:rsid w:val="007C385B"/>
    <w:rsid w:val="007C5178"/>
    <w:rsid w:val="007D1E2F"/>
    <w:rsid w:val="007D61DF"/>
    <w:rsid w:val="007E0100"/>
    <w:rsid w:val="007E09B3"/>
    <w:rsid w:val="007E15EF"/>
    <w:rsid w:val="007E64AB"/>
    <w:rsid w:val="007F695C"/>
    <w:rsid w:val="00802A76"/>
    <w:rsid w:val="00805CE4"/>
    <w:rsid w:val="00812EE9"/>
    <w:rsid w:val="00814F51"/>
    <w:rsid w:val="00823620"/>
    <w:rsid w:val="00835844"/>
    <w:rsid w:val="00840371"/>
    <w:rsid w:val="00840CF8"/>
    <w:rsid w:val="0084127E"/>
    <w:rsid w:val="008459A3"/>
    <w:rsid w:val="008579D6"/>
    <w:rsid w:val="00861A33"/>
    <w:rsid w:val="008740A3"/>
    <w:rsid w:val="00877298"/>
    <w:rsid w:val="00883B14"/>
    <w:rsid w:val="0088723F"/>
    <w:rsid w:val="00891492"/>
    <w:rsid w:val="008918E0"/>
    <w:rsid w:val="00896D81"/>
    <w:rsid w:val="00896EA8"/>
    <w:rsid w:val="008970D4"/>
    <w:rsid w:val="008A0781"/>
    <w:rsid w:val="008A2A48"/>
    <w:rsid w:val="008A554F"/>
    <w:rsid w:val="008B75D0"/>
    <w:rsid w:val="008C3530"/>
    <w:rsid w:val="008D2188"/>
    <w:rsid w:val="008E2A39"/>
    <w:rsid w:val="00901C48"/>
    <w:rsid w:val="009112A4"/>
    <w:rsid w:val="00911B4E"/>
    <w:rsid w:val="009137D9"/>
    <w:rsid w:val="00917788"/>
    <w:rsid w:val="00942282"/>
    <w:rsid w:val="00942814"/>
    <w:rsid w:val="009440F7"/>
    <w:rsid w:val="00947AD6"/>
    <w:rsid w:val="00951614"/>
    <w:rsid w:val="00960BD0"/>
    <w:rsid w:val="0096564D"/>
    <w:rsid w:val="009703B1"/>
    <w:rsid w:val="00974270"/>
    <w:rsid w:val="0097616C"/>
    <w:rsid w:val="00985E2E"/>
    <w:rsid w:val="009905C9"/>
    <w:rsid w:val="00992392"/>
    <w:rsid w:val="009A18F5"/>
    <w:rsid w:val="009A3D17"/>
    <w:rsid w:val="009A4137"/>
    <w:rsid w:val="009A6D2A"/>
    <w:rsid w:val="009A7E94"/>
    <w:rsid w:val="009C0205"/>
    <w:rsid w:val="009C06BE"/>
    <w:rsid w:val="009C53DF"/>
    <w:rsid w:val="009C5483"/>
    <w:rsid w:val="009C7AE5"/>
    <w:rsid w:val="009D2A4C"/>
    <w:rsid w:val="009E40DC"/>
    <w:rsid w:val="009E4CF5"/>
    <w:rsid w:val="009E5EFE"/>
    <w:rsid w:val="009E6059"/>
    <w:rsid w:val="009F09FC"/>
    <w:rsid w:val="009F0CC7"/>
    <w:rsid w:val="009F0FD9"/>
    <w:rsid w:val="00A12285"/>
    <w:rsid w:val="00A15758"/>
    <w:rsid w:val="00A24C3D"/>
    <w:rsid w:val="00A26D6E"/>
    <w:rsid w:val="00A278CC"/>
    <w:rsid w:val="00A32DFE"/>
    <w:rsid w:val="00A35B2F"/>
    <w:rsid w:val="00A36E6D"/>
    <w:rsid w:val="00A44998"/>
    <w:rsid w:val="00A45FE7"/>
    <w:rsid w:val="00A60CFF"/>
    <w:rsid w:val="00A615EB"/>
    <w:rsid w:val="00A64283"/>
    <w:rsid w:val="00A66C67"/>
    <w:rsid w:val="00A7209B"/>
    <w:rsid w:val="00A723E1"/>
    <w:rsid w:val="00A74F3A"/>
    <w:rsid w:val="00A8629D"/>
    <w:rsid w:val="00A8768A"/>
    <w:rsid w:val="00A92BA4"/>
    <w:rsid w:val="00A95AA6"/>
    <w:rsid w:val="00A9618A"/>
    <w:rsid w:val="00AA109B"/>
    <w:rsid w:val="00AA2225"/>
    <w:rsid w:val="00AA3104"/>
    <w:rsid w:val="00AA5A44"/>
    <w:rsid w:val="00AB0558"/>
    <w:rsid w:val="00AB112F"/>
    <w:rsid w:val="00AB37BC"/>
    <w:rsid w:val="00AC219F"/>
    <w:rsid w:val="00AC2204"/>
    <w:rsid w:val="00AC23F1"/>
    <w:rsid w:val="00AC3AFE"/>
    <w:rsid w:val="00AC721E"/>
    <w:rsid w:val="00AC7262"/>
    <w:rsid w:val="00AC7C11"/>
    <w:rsid w:val="00AD27E5"/>
    <w:rsid w:val="00AF3C01"/>
    <w:rsid w:val="00B10D83"/>
    <w:rsid w:val="00B12259"/>
    <w:rsid w:val="00B22FF2"/>
    <w:rsid w:val="00B2363B"/>
    <w:rsid w:val="00B320C4"/>
    <w:rsid w:val="00B3246D"/>
    <w:rsid w:val="00B3327A"/>
    <w:rsid w:val="00B3434D"/>
    <w:rsid w:val="00B40CCE"/>
    <w:rsid w:val="00B42DCD"/>
    <w:rsid w:val="00B4468F"/>
    <w:rsid w:val="00B47C2F"/>
    <w:rsid w:val="00B47C93"/>
    <w:rsid w:val="00B530F0"/>
    <w:rsid w:val="00B62387"/>
    <w:rsid w:val="00B6432E"/>
    <w:rsid w:val="00B66CCC"/>
    <w:rsid w:val="00B73A2E"/>
    <w:rsid w:val="00B81C8D"/>
    <w:rsid w:val="00B83C84"/>
    <w:rsid w:val="00B84207"/>
    <w:rsid w:val="00B849F8"/>
    <w:rsid w:val="00B8518A"/>
    <w:rsid w:val="00B94E08"/>
    <w:rsid w:val="00B969A2"/>
    <w:rsid w:val="00B96B71"/>
    <w:rsid w:val="00BA634F"/>
    <w:rsid w:val="00BA65A4"/>
    <w:rsid w:val="00BA7885"/>
    <w:rsid w:val="00BB30D0"/>
    <w:rsid w:val="00BD155E"/>
    <w:rsid w:val="00BD246F"/>
    <w:rsid w:val="00BD60D3"/>
    <w:rsid w:val="00BE5451"/>
    <w:rsid w:val="00C06465"/>
    <w:rsid w:val="00C076EB"/>
    <w:rsid w:val="00C117B3"/>
    <w:rsid w:val="00C22F7F"/>
    <w:rsid w:val="00C253B3"/>
    <w:rsid w:val="00C2753D"/>
    <w:rsid w:val="00C3030C"/>
    <w:rsid w:val="00C36275"/>
    <w:rsid w:val="00C36F94"/>
    <w:rsid w:val="00C413A9"/>
    <w:rsid w:val="00C520A6"/>
    <w:rsid w:val="00C53230"/>
    <w:rsid w:val="00C54E23"/>
    <w:rsid w:val="00C62AC4"/>
    <w:rsid w:val="00C70F33"/>
    <w:rsid w:val="00C70F89"/>
    <w:rsid w:val="00C87934"/>
    <w:rsid w:val="00C90EFF"/>
    <w:rsid w:val="00CA4A4C"/>
    <w:rsid w:val="00CB5D88"/>
    <w:rsid w:val="00CC46B5"/>
    <w:rsid w:val="00CD7204"/>
    <w:rsid w:val="00CD739B"/>
    <w:rsid w:val="00CE2823"/>
    <w:rsid w:val="00CE37E3"/>
    <w:rsid w:val="00CE7056"/>
    <w:rsid w:val="00CF7947"/>
    <w:rsid w:val="00D06F2E"/>
    <w:rsid w:val="00D17B07"/>
    <w:rsid w:val="00D21FE0"/>
    <w:rsid w:val="00D40229"/>
    <w:rsid w:val="00D5254F"/>
    <w:rsid w:val="00D55005"/>
    <w:rsid w:val="00D56117"/>
    <w:rsid w:val="00D72D0A"/>
    <w:rsid w:val="00D72DDC"/>
    <w:rsid w:val="00D80539"/>
    <w:rsid w:val="00D8109B"/>
    <w:rsid w:val="00D8265F"/>
    <w:rsid w:val="00D82A97"/>
    <w:rsid w:val="00D85593"/>
    <w:rsid w:val="00D91124"/>
    <w:rsid w:val="00D923DD"/>
    <w:rsid w:val="00D93F22"/>
    <w:rsid w:val="00D942E5"/>
    <w:rsid w:val="00D95853"/>
    <w:rsid w:val="00DA3AED"/>
    <w:rsid w:val="00DA3DD9"/>
    <w:rsid w:val="00DA4D24"/>
    <w:rsid w:val="00DB2BC0"/>
    <w:rsid w:val="00DB36A7"/>
    <w:rsid w:val="00DB5CF3"/>
    <w:rsid w:val="00DC7C9A"/>
    <w:rsid w:val="00DD6ED7"/>
    <w:rsid w:val="00DE2320"/>
    <w:rsid w:val="00DE6DE8"/>
    <w:rsid w:val="00DF2C25"/>
    <w:rsid w:val="00DF3E0F"/>
    <w:rsid w:val="00DF3E3E"/>
    <w:rsid w:val="00E03DF0"/>
    <w:rsid w:val="00E05A28"/>
    <w:rsid w:val="00E12A5C"/>
    <w:rsid w:val="00E222BC"/>
    <w:rsid w:val="00E22844"/>
    <w:rsid w:val="00E31997"/>
    <w:rsid w:val="00E37C71"/>
    <w:rsid w:val="00E43167"/>
    <w:rsid w:val="00E43918"/>
    <w:rsid w:val="00E478BB"/>
    <w:rsid w:val="00E47992"/>
    <w:rsid w:val="00E51064"/>
    <w:rsid w:val="00E5611F"/>
    <w:rsid w:val="00E6152A"/>
    <w:rsid w:val="00E61B38"/>
    <w:rsid w:val="00E628C2"/>
    <w:rsid w:val="00E648EE"/>
    <w:rsid w:val="00E65749"/>
    <w:rsid w:val="00E6768D"/>
    <w:rsid w:val="00E71D4D"/>
    <w:rsid w:val="00E80CFE"/>
    <w:rsid w:val="00E84DBD"/>
    <w:rsid w:val="00E96B98"/>
    <w:rsid w:val="00EA401F"/>
    <w:rsid w:val="00EB0962"/>
    <w:rsid w:val="00EB37BB"/>
    <w:rsid w:val="00EB41FB"/>
    <w:rsid w:val="00EC7C0E"/>
    <w:rsid w:val="00ED347C"/>
    <w:rsid w:val="00ED46EA"/>
    <w:rsid w:val="00EF0606"/>
    <w:rsid w:val="00F0111D"/>
    <w:rsid w:val="00F0389A"/>
    <w:rsid w:val="00F11305"/>
    <w:rsid w:val="00F27355"/>
    <w:rsid w:val="00F42EE7"/>
    <w:rsid w:val="00F42FC4"/>
    <w:rsid w:val="00F66ECD"/>
    <w:rsid w:val="00F67D51"/>
    <w:rsid w:val="00F70CAA"/>
    <w:rsid w:val="00F719BD"/>
    <w:rsid w:val="00F75A68"/>
    <w:rsid w:val="00F765F5"/>
    <w:rsid w:val="00F936AE"/>
    <w:rsid w:val="00FA3696"/>
    <w:rsid w:val="00FA462E"/>
    <w:rsid w:val="00FB1134"/>
    <w:rsid w:val="00FB640E"/>
    <w:rsid w:val="00FB6514"/>
    <w:rsid w:val="00FC527B"/>
    <w:rsid w:val="00FC6847"/>
    <w:rsid w:val="00FC74A0"/>
    <w:rsid w:val="00FD1A36"/>
    <w:rsid w:val="00FD67C5"/>
    <w:rsid w:val="00FD792F"/>
    <w:rsid w:val="00FE2EAE"/>
    <w:rsid w:val="00FE3B6A"/>
    <w:rsid w:val="00FE3D94"/>
    <w:rsid w:val="00FE3DBA"/>
    <w:rsid w:val="00FE4F4F"/>
    <w:rsid w:val="00FE6DFC"/>
    <w:rsid w:val="026C5566"/>
    <w:rsid w:val="02E41D0A"/>
    <w:rsid w:val="046E3704"/>
    <w:rsid w:val="04EB3607"/>
    <w:rsid w:val="05556A8C"/>
    <w:rsid w:val="06A87FF6"/>
    <w:rsid w:val="07C537C2"/>
    <w:rsid w:val="08AB4D07"/>
    <w:rsid w:val="09C84C93"/>
    <w:rsid w:val="09D630DB"/>
    <w:rsid w:val="0C5122A5"/>
    <w:rsid w:val="0DAD2FFC"/>
    <w:rsid w:val="0E923E39"/>
    <w:rsid w:val="103278EB"/>
    <w:rsid w:val="10EE163E"/>
    <w:rsid w:val="11D61881"/>
    <w:rsid w:val="16D53B20"/>
    <w:rsid w:val="1A8C6E5A"/>
    <w:rsid w:val="1BF25CF2"/>
    <w:rsid w:val="1D51032E"/>
    <w:rsid w:val="1F716111"/>
    <w:rsid w:val="234E1512"/>
    <w:rsid w:val="29903037"/>
    <w:rsid w:val="29AA5095"/>
    <w:rsid w:val="2A3A0738"/>
    <w:rsid w:val="2AE931F7"/>
    <w:rsid w:val="2D1D132A"/>
    <w:rsid w:val="2FCB1775"/>
    <w:rsid w:val="30855993"/>
    <w:rsid w:val="30E174EF"/>
    <w:rsid w:val="34FD1E7C"/>
    <w:rsid w:val="3741192D"/>
    <w:rsid w:val="3C3E4610"/>
    <w:rsid w:val="3E350189"/>
    <w:rsid w:val="40B3044E"/>
    <w:rsid w:val="40CA4AED"/>
    <w:rsid w:val="46696515"/>
    <w:rsid w:val="467A0454"/>
    <w:rsid w:val="4B443DD7"/>
    <w:rsid w:val="4D8F0D55"/>
    <w:rsid w:val="4EA52577"/>
    <w:rsid w:val="4FA14CBB"/>
    <w:rsid w:val="504D7523"/>
    <w:rsid w:val="518779F3"/>
    <w:rsid w:val="563673CA"/>
    <w:rsid w:val="5803629F"/>
    <w:rsid w:val="5AAC59CE"/>
    <w:rsid w:val="5D061158"/>
    <w:rsid w:val="66744FC9"/>
    <w:rsid w:val="66901A12"/>
    <w:rsid w:val="6AC52363"/>
    <w:rsid w:val="6AE06DAF"/>
    <w:rsid w:val="6C637CD5"/>
    <w:rsid w:val="6C775329"/>
    <w:rsid w:val="721B1486"/>
    <w:rsid w:val="73A3454C"/>
    <w:rsid w:val="7485666E"/>
    <w:rsid w:val="751068FA"/>
    <w:rsid w:val="7A662574"/>
    <w:rsid w:val="7B7B13D6"/>
    <w:rsid w:val="7BA14719"/>
    <w:rsid w:val="7CEC494A"/>
    <w:rsid w:val="7D7C1AFD"/>
    <w:rsid w:val="7DA758D3"/>
    <w:rsid w:val="7E8623A0"/>
    <w:rsid w:val="7ECC7C0F"/>
    <w:rsid w:val="7FF122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qFormat="1"/>
    <w:lsdException w:name="Table Grid" w:semiHidden="0" w:uiPriority="59"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72C"/>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6F572C"/>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6F572C"/>
    <w:rPr>
      <w:sz w:val="18"/>
      <w:szCs w:val="18"/>
    </w:rPr>
  </w:style>
  <w:style w:type="paragraph" w:styleId="a4">
    <w:name w:val="footer"/>
    <w:basedOn w:val="a"/>
    <w:link w:val="Char0"/>
    <w:uiPriority w:val="99"/>
    <w:unhideWhenUsed/>
    <w:qFormat/>
    <w:rsid w:val="006F572C"/>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6F572C"/>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6F572C"/>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6F572C"/>
    <w:rPr>
      <w:b/>
      <w:bCs/>
    </w:rPr>
  </w:style>
  <w:style w:type="character" w:styleId="a8">
    <w:name w:val="Hyperlink"/>
    <w:basedOn w:val="a0"/>
    <w:uiPriority w:val="99"/>
    <w:unhideWhenUsed/>
    <w:qFormat/>
    <w:rsid w:val="006F572C"/>
    <w:rPr>
      <w:color w:val="0000FF"/>
      <w:u w:val="single"/>
    </w:rPr>
  </w:style>
  <w:style w:type="table" w:styleId="a9">
    <w:name w:val="Table Grid"/>
    <w:basedOn w:val="a1"/>
    <w:uiPriority w:val="59"/>
    <w:qFormat/>
    <w:rsid w:val="006F5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5"/>
    <w:link w:val="2Char"/>
    <w:qFormat/>
    <w:rsid w:val="006F572C"/>
    <w:pPr>
      <w:tabs>
        <w:tab w:val="clear" w:pos="8306"/>
        <w:tab w:val="left" w:pos="4200"/>
        <w:tab w:val="left" w:pos="4620"/>
      </w:tabs>
      <w:jc w:val="left"/>
    </w:pPr>
    <w:rPr>
      <w:rFonts w:ascii="Times New Roman" w:eastAsia="宋体" w:hAnsi="Times New Roman" w:cs="Times New Roman"/>
    </w:rPr>
  </w:style>
  <w:style w:type="character" w:customStyle="1" w:styleId="Char1">
    <w:name w:val="页眉 Char"/>
    <w:basedOn w:val="a0"/>
    <w:link w:val="a5"/>
    <w:uiPriority w:val="99"/>
    <w:semiHidden/>
    <w:qFormat/>
    <w:rsid w:val="006F572C"/>
    <w:rPr>
      <w:sz w:val="18"/>
      <w:szCs w:val="18"/>
    </w:rPr>
  </w:style>
  <w:style w:type="character" w:customStyle="1" w:styleId="2Char">
    <w:name w:val="样式2 Char"/>
    <w:basedOn w:val="Char1"/>
    <w:link w:val="2"/>
    <w:qFormat/>
    <w:rsid w:val="006F572C"/>
    <w:rPr>
      <w:rFonts w:ascii="Times New Roman" w:eastAsia="宋体" w:hAnsi="Times New Roman" w:cs="Times New Roman"/>
    </w:rPr>
  </w:style>
  <w:style w:type="character" w:customStyle="1" w:styleId="Char0">
    <w:name w:val="页脚 Char"/>
    <w:basedOn w:val="a0"/>
    <w:link w:val="a4"/>
    <w:uiPriority w:val="99"/>
    <w:qFormat/>
    <w:rsid w:val="006F572C"/>
    <w:rPr>
      <w:sz w:val="18"/>
      <w:szCs w:val="18"/>
    </w:rPr>
  </w:style>
  <w:style w:type="paragraph" w:customStyle="1" w:styleId="p0">
    <w:name w:val="p0"/>
    <w:basedOn w:val="a"/>
    <w:qFormat/>
    <w:rsid w:val="006F572C"/>
    <w:pPr>
      <w:widowControl/>
    </w:pPr>
    <w:rPr>
      <w:rFonts w:ascii="Times New Roman" w:eastAsia="宋体" w:hAnsi="Times New Roman" w:cs="Times New Roman"/>
      <w:kern w:val="0"/>
      <w:szCs w:val="21"/>
    </w:rPr>
  </w:style>
  <w:style w:type="paragraph" w:styleId="aa">
    <w:name w:val="No Spacing"/>
    <w:qFormat/>
    <w:rsid w:val="006F572C"/>
    <w:pPr>
      <w:widowControl w:val="0"/>
      <w:ind w:firstLineChars="200" w:firstLine="200"/>
      <w:jc w:val="both"/>
    </w:pPr>
    <w:rPr>
      <w:rFonts w:ascii="Calibri" w:eastAsia="仿宋_GB2312" w:hAnsi="Calibri"/>
      <w:kern w:val="2"/>
      <w:sz w:val="32"/>
      <w:szCs w:val="22"/>
    </w:rPr>
  </w:style>
  <w:style w:type="character" w:customStyle="1" w:styleId="Char">
    <w:name w:val="批注框文本 Char"/>
    <w:basedOn w:val="a0"/>
    <w:link w:val="a3"/>
    <w:uiPriority w:val="99"/>
    <w:semiHidden/>
    <w:qFormat/>
    <w:rsid w:val="006F572C"/>
    <w:rPr>
      <w:sz w:val="18"/>
      <w:szCs w:val="18"/>
    </w:rPr>
  </w:style>
  <w:style w:type="paragraph" w:styleId="ab">
    <w:name w:val="List Paragraph"/>
    <w:basedOn w:val="a"/>
    <w:uiPriority w:val="99"/>
    <w:qFormat/>
    <w:rsid w:val="006F572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2&#36816;&#34892;&#20998;&#26512;\2018&#24314;&#26448;&#36816;&#34892;&#20998;&#26512;\1812\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产量</c:v>
                </c:pt>
              </c:strCache>
            </c:strRef>
          </c:tx>
          <c:dLbls>
            <c:showVal val="1"/>
          </c:dLbls>
          <c:cat>
            <c:strRef>
              <c:f>Sheet1!$A$2:$A$11</c:f>
              <c:strCache>
                <c:ptCount val="10"/>
                <c:pt idx="0">
                  <c:v>1广东</c:v>
                </c:pt>
                <c:pt idx="1">
                  <c:v>2江苏</c:v>
                </c:pt>
                <c:pt idx="2">
                  <c:v>3四川</c:v>
                </c:pt>
                <c:pt idx="3">
                  <c:v>4安徽</c:v>
                </c:pt>
                <c:pt idx="4">
                  <c:v>5山东</c:v>
                </c:pt>
                <c:pt idx="5">
                  <c:v>6浙江</c:v>
                </c:pt>
                <c:pt idx="6">
                  <c:v>7云南</c:v>
                </c:pt>
                <c:pt idx="7">
                  <c:v>8广西</c:v>
                </c:pt>
                <c:pt idx="8">
                  <c:v>9贵州</c:v>
                </c:pt>
                <c:pt idx="9">
                  <c:v>10河南</c:v>
                </c:pt>
              </c:strCache>
            </c:strRef>
          </c:cat>
          <c:val>
            <c:numRef>
              <c:f>Sheet1!$B$2:$B$11</c:f>
              <c:numCache>
                <c:formatCode>General</c:formatCode>
                <c:ptCount val="10"/>
                <c:pt idx="0">
                  <c:v>15988.89</c:v>
                </c:pt>
                <c:pt idx="1">
                  <c:v>14692.03</c:v>
                </c:pt>
                <c:pt idx="2">
                  <c:v>13748.66</c:v>
                </c:pt>
                <c:pt idx="3">
                  <c:v>13027.849999999991</c:v>
                </c:pt>
                <c:pt idx="4">
                  <c:v>12280.240000000009</c:v>
                </c:pt>
                <c:pt idx="5">
                  <c:v>12248.26</c:v>
                </c:pt>
                <c:pt idx="6">
                  <c:v>11798.42</c:v>
                </c:pt>
                <c:pt idx="7">
                  <c:v>11744.130000000006</c:v>
                </c:pt>
                <c:pt idx="8">
                  <c:v>11031.75</c:v>
                </c:pt>
                <c:pt idx="9">
                  <c:v>10964.97</c:v>
                </c:pt>
              </c:numCache>
            </c:numRef>
          </c:val>
        </c:ser>
        <c:axId val="78583296"/>
        <c:axId val="78584832"/>
      </c:barChart>
      <c:catAx>
        <c:axId val="78583296"/>
        <c:scaling>
          <c:orientation val="minMax"/>
        </c:scaling>
        <c:axPos val="b"/>
        <c:numFmt formatCode="General" sourceLinked="1"/>
        <c:majorTickMark val="none"/>
        <c:tickLblPos val="nextTo"/>
        <c:crossAx val="78584832"/>
        <c:crosses val="autoZero"/>
        <c:auto val="1"/>
        <c:lblAlgn val="ctr"/>
        <c:lblOffset val="100"/>
      </c:catAx>
      <c:valAx>
        <c:axId val="78584832"/>
        <c:scaling>
          <c:orientation val="minMax"/>
        </c:scaling>
        <c:axPos val="l"/>
        <c:majorGridlines/>
        <c:title>
          <c:tx>
            <c:rich>
              <a:bodyPr/>
              <a:lstStyle/>
              <a:p>
                <a:pPr>
                  <a:defRPr/>
                </a:pPr>
                <a:r>
                  <a:rPr lang="zh-CN" altLang="en-US" sz="1200"/>
                  <a:t>单位：万吨</a:t>
                </a:r>
              </a:p>
            </c:rich>
          </c:tx>
          <c:layout>
            <c:manualLayout>
              <c:xMode val="edge"/>
              <c:yMode val="edge"/>
              <c:x val="3.4764831773800263E-2"/>
              <c:y val="0.57479678676529067"/>
            </c:manualLayout>
          </c:layout>
        </c:title>
        <c:numFmt formatCode="General" sourceLinked="1"/>
        <c:majorTickMark val="none"/>
        <c:tickLblPos val="nextTo"/>
        <c:crossAx val="78583296"/>
        <c:crosses val="autoZero"/>
        <c:crossBetween val="between"/>
      </c:valAx>
      <c:dTable>
        <c:showHorzBorder val="1"/>
        <c:showVertBorder val="1"/>
        <c:showOutline val="1"/>
        <c:showKeys val="1"/>
        <c:txPr>
          <a:bodyPr/>
          <a:lstStyle/>
          <a:p>
            <a:pPr rtl="0">
              <a:defRPr sz="900"/>
            </a:pPr>
            <a:endParaRPr lang="zh-CN"/>
          </a:p>
        </c:txPr>
      </c:dTable>
    </c:plotArea>
    <c:plotVisOnly val="1"/>
    <c:dispBlanksAs val="gap"/>
  </c:chart>
  <c:spPr>
    <a:ln>
      <a:noFill/>
    </a:ln>
  </c:sp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07FABE6-C9AB-4305-89FF-87A6BBD45FC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19</Pages>
  <Words>1431</Words>
  <Characters>8159</Characters>
  <Application>Microsoft Office Word</Application>
  <DocSecurity>0</DocSecurity>
  <Lines>67</Lines>
  <Paragraphs>19</Paragraphs>
  <ScaleCrop>false</ScaleCrop>
  <Company>Sky123.Org</Company>
  <LinksUpToDate>false</LinksUpToDate>
  <CharactersWithSpaces>9571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ChinaUser</dc:creator>
  <cp:lastModifiedBy>sang</cp:lastModifiedBy>
  <cp:revision>35</cp:revision>
  <cp:lastPrinted>2019-01-02T07:20:00Z</cp:lastPrinted>
  <dcterms:created xsi:type="dcterms:W3CDTF">2018-12-27T02:49:00Z</dcterms:created>
  <dcterms:modified xsi:type="dcterms:W3CDTF">2019-06-25T01:22:00Z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