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93" w:rsidRDefault="00BD155E" w:rsidP="0051594A">
      <w:pPr>
        <w:spacing w:line="276" w:lineRule="auto"/>
        <w:jc w:val="center"/>
        <w:rPr>
          <w:rFonts w:ascii="黑体" w:eastAsia="黑体" w:hAnsi="黑体" w:cs="黑体" w:hint="eastAsia"/>
          <w:sz w:val="32"/>
          <w:szCs w:val="32"/>
        </w:rPr>
      </w:pPr>
      <w:r w:rsidRPr="0051594A">
        <w:rPr>
          <w:rFonts w:ascii="黑体" w:eastAsia="黑体" w:hAnsi="黑体" w:cs="黑体" w:hint="eastAsia"/>
          <w:sz w:val="32"/>
          <w:szCs w:val="32"/>
        </w:rPr>
        <w:t>201</w:t>
      </w:r>
      <w:r w:rsidR="00776593" w:rsidRPr="0051594A">
        <w:rPr>
          <w:rFonts w:ascii="黑体" w:eastAsia="黑体" w:hAnsi="黑体" w:cs="黑体" w:hint="eastAsia"/>
          <w:sz w:val="32"/>
          <w:szCs w:val="32"/>
        </w:rPr>
        <w:t>9</w:t>
      </w:r>
      <w:r w:rsidRPr="0051594A">
        <w:rPr>
          <w:rFonts w:ascii="黑体" w:eastAsia="黑体" w:hAnsi="黑体" w:cs="黑体" w:hint="eastAsia"/>
          <w:sz w:val="32"/>
          <w:szCs w:val="32"/>
        </w:rPr>
        <w:t>年</w:t>
      </w:r>
      <w:r w:rsidR="00776593" w:rsidRPr="0051594A">
        <w:rPr>
          <w:rFonts w:ascii="黑体" w:eastAsia="黑体" w:hAnsi="黑体" w:cs="黑体" w:hint="eastAsia"/>
          <w:sz w:val="32"/>
          <w:szCs w:val="32"/>
        </w:rPr>
        <w:t>1-2月</w:t>
      </w:r>
      <w:r w:rsidRPr="0051594A">
        <w:rPr>
          <w:rFonts w:ascii="黑体" w:eastAsia="黑体" w:hAnsi="黑体" w:cs="黑体" w:hint="eastAsia"/>
          <w:sz w:val="32"/>
          <w:szCs w:val="32"/>
        </w:rPr>
        <w:t>河南省建材工业运行分析</w:t>
      </w:r>
      <w:bookmarkStart w:id="0" w:name="_GoBack"/>
      <w:bookmarkEnd w:id="0"/>
    </w:p>
    <w:p w:rsidR="00F944A3" w:rsidRPr="0051594A" w:rsidRDefault="00F944A3" w:rsidP="0051594A">
      <w:pPr>
        <w:spacing w:line="276" w:lineRule="auto"/>
        <w:jc w:val="center"/>
        <w:rPr>
          <w:rFonts w:ascii="黑体" w:eastAsia="黑体" w:hAnsi="黑体" w:cs="黑体"/>
          <w:sz w:val="32"/>
          <w:szCs w:val="32"/>
        </w:rPr>
      </w:pPr>
    </w:p>
    <w:p w:rsidR="00C66E39" w:rsidRPr="00F944A3" w:rsidRDefault="00C66E39" w:rsidP="00C66E39">
      <w:pPr>
        <w:spacing w:line="276" w:lineRule="auto"/>
        <w:ind w:firstLine="645"/>
        <w:jc w:val="left"/>
        <w:rPr>
          <w:rFonts w:ascii="仿宋" w:eastAsia="仿宋" w:hAnsi="仿宋"/>
          <w:sz w:val="32"/>
          <w:szCs w:val="32"/>
        </w:rPr>
      </w:pPr>
      <w:r w:rsidRPr="00F944A3">
        <w:rPr>
          <w:rFonts w:ascii="仿宋" w:eastAsia="仿宋" w:hAnsi="仿宋" w:hint="eastAsia"/>
          <w:sz w:val="32"/>
          <w:szCs w:val="32"/>
        </w:rPr>
        <w:t>今年以来，</w:t>
      </w:r>
      <w:r w:rsidRPr="00F944A3">
        <w:rPr>
          <w:rFonts w:ascii="仿宋" w:eastAsia="仿宋" w:hAnsi="仿宋" w:hint="eastAsia"/>
          <w:color w:val="000000"/>
          <w:sz w:val="32"/>
          <w:szCs w:val="32"/>
        </w:rPr>
        <w:t>建材行业认真贯彻落实党中央、国务院决策部署，深入推进供给侧结构性改革，化解过剩产能取得进一步成效，经济效益明显提升，产业结构逐步优化，行业运行总体保持稳中向好态势</w:t>
      </w:r>
      <w:r w:rsidRPr="00F944A3">
        <w:rPr>
          <w:rFonts w:ascii="仿宋" w:eastAsia="仿宋" w:hAnsi="仿宋" w:cs="仿宋" w:hint="eastAsia"/>
          <w:sz w:val="32"/>
          <w:szCs w:val="32"/>
        </w:rPr>
        <w:t>。</w:t>
      </w:r>
      <w:r w:rsidR="00BD155E" w:rsidRPr="00F944A3">
        <w:rPr>
          <w:rFonts w:ascii="仿宋" w:eastAsia="仿宋" w:hAnsi="仿宋" w:hint="eastAsia"/>
          <w:sz w:val="32"/>
          <w:szCs w:val="32"/>
        </w:rPr>
        <w:t>201</w:t>
      </w:r>
      <w:r w:rsidR="0041794B" w:rsidRPr="00F944A3">
        <w:rPr>
          <w:rFonts w:ascii="仿宋" w:eastAsia="仿宋" w:hAnsi="仿宋" w:hint="eastAsia"/>
          <w:sz w:val="32"/>
          <w:szCs w:val="32"/>
        </w:rPr>
        <w:t>9</w:t>
      </w:r>
      <w:r w:rsidR="00BD155E" w:rsidRPr="00F944A3">
        <w:rPr>
          <w:rFonts w:ascii="仿宋" w:eastAsia="仿宋" w:hAnsi="仿宋" w:hint="eastAsia"/>
          <w:sz w:val="32"/>
          <w:szCs w:val="32"/>
        </w:rPr>
        <w:t>年1-</w:t>
      </w:r>
      <w:r w:rsidR="0041794B" w:rsidRPr="00F944A3">
        <w:rPr>
          <w:rFonts w:ascii="仿宋" w:eastAsia="仿宋" w:hAnsi="仿宋" w:hint="eastAsia"/>
          <w:sz w:val="32"/>
          <w:szCs w:val="32"/>
        </w:rPr>
        <w:t>2</w:t>
      </w:r>
      <w:r w:rsidR="00BD155E" w:rsidRPr="00F944A3">
        <w:rPr>
          <w:rFonts w:ascii="仿宋" w:eastAsia="仿宋" w:hAnsi="仿宋" w:hint="eastAsia"/>
          <w:sz w:val="32"/>
          <w:szCs w:val="32"/>
        </w:rPr>
        <w:t>月份，全省规模以上工业增加值增长</w:t>
      </w:r>
      <w:r w:rsidR="0041794B" w:rsidRPr="00F944A3">
        <w:rPr>
          <w:rFonts w:ascii="仿宋" w:eastAsia="仿宋" w:hAnsi="仿宋" w:hint="eastAsia"/>
          <w:sz w:val="32"/>
          <w:szCs w:val="32"/>
        </w:rPr>
        <w:t>8.8</w:t>
      </w:r>
      <w:r w:rsidR="00BD155E" w:rsidRPr="00F944A3">
        <w:rPr>
          <w:rFonts w:ascii="仿宋" w:eastAsia="仿宋" w:hAnsi="仿宋" w:hint="eastAsia"/>
          <w:sz w:val="32"/>
          <w:szCs w:val="32"/>
        </w:rPr>
        <w:t>%，高于全国平均水平</w:t>
      </w:r>
      <w:r w:rsidR="0041794B" w:rsidRPr="00F944A3">
        <w:rPr>
          <w:rFonts w:ascii="仿宋" w:eastAsia="仿宋" w:hAnsi="仿宋" w:hint="eastAsia"/>
          <w:sz w:val="32"/>
          <w:szCs w:val="32"/>
        </w:rPr>
        <w:t>3.5</w:t>
      </w:r>
      <w:r w:rsidR="00D97E04" w:rsidRPr="00F944A3">
        <w:rPr>
          <w:rFonts w:ascii="仿宋" w:eastAsia="仿宋" w:hAnsi="仿宋" w:hint="eastAsia"/>
          <w:sz w:val="32"/>
          <w:szCs w:val="32"/>
        </w:rPr>
        <w:t>个百分点，</w:t>
      </w:r>
      <w:r w:rsidR="00BD155E" w:rsidRPr="00F944A3">
        <w:rPr>
          <w:rFonts w:ascii="仿宋" w:eastAsia="仿宋" w:hAnsi="仿宋" w:hint="eastAsia"/>
          <w:sz w:val="32"/>
          <w:szCs w:val="32"/>
        </w:rPr>
        <w:t>全省固定资产投资同比增长8.</w:t>
      </w:r>
      <w:r w:rsidR="0041794B" w:rsidRPr="00F944A3">
        <w:rPr>
          <w:rFonts w:ascii="仿宋" w:eastAsia="仿宋" w:hAnsi="仿宋" w:hint="eastAsia"/>
          <w:sz w:val="32"/>
          <w:szCs w:val="32"/>
        </w:rPr>
        <w:t>2</w:t>
      </w:r>
      <w:r w:rsidR="00BD155E" w:rsidRPr="00F944A3">
        <w:rPr>
          <w:rFonts w:ascii="仿宋" w:eastAsia="仿宋" w:hAnsi="仿宋" w:hint="eastAsia"/>
          <w:sz w:val="32"/>
          <w:szCs w:val="32"/>
        </w:rPr>
        <w:t>%，高于全国平均水平2.</w:t>
      </w:r>
      <w:r w:rsidR="0041794B" w:rsidRPr="00F944A3">
        <w:rPr>
          <w:rFonts w:ascii="仿宋" w:eastAsia="仿宋" w:hAnsi="仿宋" w:hint="eastAsia"/>
          <w:sz w:val="32"/>
          <w:szCs w:val="32"/>
        </w:rPr>
        <w:t>1</w:t>
      </w:r>
      <w:r w:rsidR="00BD155E" w:rsidRPr="00F944A3">
        <w:rPr>
          <w:rFonts w:ascii="仿宋" w:eastAsia="仿宋" w:hAnsi="仿宋" w:hint="eastAsia"/>
          <w:sz w:val="32"/>
          <w:szCs w:val="32"/>
        </w:rPr>
        <w:t>个百分点。其中,基础设施投资同比增长</w:t>
      </w:r>
      <w:r w:rsidR="0041794B" w:rsidRPr="00F944A3">
        <w:rPr>
          <w:rFonts w:ascii="仿宋" w:eastAsia="仿宋" w:hAnsi="仿宋" w:hint="eastAsia"/>
          <w:sz w:val="32"/>
          <w:szCs w:val="32"/>
        </w:rPr>
        <w:t>17.3</w:t>
      </w:r>
      <w:r w:rsidR="00BD155E" w:rsidRPr="00F944A3">
        <w:rPr>
          <w:rFonts w:ascii="仿宋" w:eastAsia="仿宋" w:hAnsi="仿宋" w:hint="eastAsia"/>
          <w:sz w:val="32"/>
          <w:szCs w:val="32"/>
        </w:rPr>
        <w:t>%；全省房地产开发投资</w:t>
      </w:r>
      <w:r w:rsidR="0041794B" w:rsidRPr="00F944A3">
        <w:rPr>
          <w:rFonts w:ascii="仿宋" w:eastAsia="仿宋" w:hAnsi="仿宋" w:hint="eastAsia"/>
          <w:sz w:val="32"/>
          <w:szCs w:val="32"/>
        </w:rPr>
        <w:t>537.26</w:t>
      </w:r>
      <w:r w:rsidR="00BD155E" w:rsidRPr="00F944A3">
        <w:rPr>
          <w:rFonts w:ascii="仿宋" w:eastAsia="仿宋" w:hAnsi="仿宋" w:hint="eastAsia"/>
          <w:sz w:val="32"/>
          <w:szCs w:val="32"/>
        </w:rPr>
        <w:t>亿元，同比</w:t>
      </w:r>
      <w:r w:rsidR="0041794B" w:rsidRPr="00F944A3">
        <w:rPr>
          <w:rFonts w:ascii="仿宋" w:eastAsia="仿宋" w:hAnsi="仿宋" w:hint="eastAsia"/>
          <w:sz w:val="32"/>
          <w:szCs w:val="32"/>
        </w:rPr>
        <w:t>增长5.1</w:t>
      </w:r>
      <w:r w:rsidR="00BD155E" w:rsidRPr="00F944A3">
        <w:rPr>
          <w:rFonts w:ascii="仿宋" w:eastAsia="仿宋" w:hAnsi="仿宋" w:hint="eastAsia"/>
          <w:sz w:val="32"/>
          <w:szCs w:val="32"/>
        </w:rPr>
        <w:t>%</w:t>
      </w:r>
      <w:r w:rsidR="00D97E04" w:rsidRPr="00F944A3">
        <w:rPr>
          <w:rFonts w:ascii="仿宋" w:eastAsia="仿宋" w:hAnsi="仿宋" w:hint="eastAsia"/>
          <w:sz w:val="32"/>
          <w:szCs w:val="32"/>
        </w:rPr>
        <w:t>。</w:t>
      </w:r>
    </w:p>
    <w:p w:rsidR="006F572C" w:rsidRPr="00F944A3" w:rsidRDefault="00BD155E" w:rsidP="00C66E39">
      <w:pPr>
        <w:spacing w:line="276" w:lineRule="auto"/>
        <w:ind w:firstLine="645"/>
        <w:jc w:val="left"/>
        <w:rPr>
          <w:rFonts w:ascii="仿宋" w:eastAsia="仿宋" w:hAnsi="仿宋"/>
          <w:b/>
          <w:sz w:val="32"/>
          <w:szCs w:val="32"/>
        </w:rPr>
      </w:pPr>
      <w:r w:rsidRPr="00F944A3">
        <w:rPr>
          <w:rFonts w:ascii="仿宋" w:eastAsia="仿宋" w:hAnsi="仿宋" w:hint="eastAsia"/>
          <w:b/>
          <w:sz w:val="32"/>
          <w:szCs w:val="32"/>
        </w:rPr>
        <w:t>一、全省水泥工业运行情况</w:t>
      </w:r>
    </w:p>
    <w:p w:rsidR="006F572C" w:rsidRPr="00F944A3" w:rsidRDefault="00BD155E" w:rsidP="00F944A3">
      <w:pPr>
        <w:spacing w:line="276" w:lineRule="auto"/>
        <w:ind w:firstLineChars="200" w:firstLine="640"/>
        <w:rPr>
          <w:rFonts w:ascii="仿宋" w:eastAsia="仿宋" w:hAnsi="仿宋" w:cs="仿宋"/>
          <w:sz w:val="32"/>
          <w:szCs w:val="32"/>
        </w:rPr>
      </w:pPr>
      <w:r w:rsidRPr="00F944A3">
        <w:rPr>
          <w:rFonts w:ascii="仿宋" w:eastAsia="仿宋" w:hAnsi="仿宋" w:cs="仿宋" w:hint="eastAsia"/>
          <w:sz w:val="32"/>
          <w:szCs w:val="32"/>
        </w:rPr>
        <w:t>201</w:t>
      </w:r>
      <w:r w:rsidR="003B516D" w:rsidRPr="00F944A3">
        <w:rPr>
          <w:rFonts w:ascii="仿宋" w:eastAsia="仿宋" w:hAnsi="仿宋" w:cs="仿宋" w:hint="eastAsia"/>
          <w:sz w:val="32"/>
          <w:szCs w:val="32"/>
        </w:rPr>
        <w:t>9</w:t>
      </w:r>
      <w:r w:rsidRPr="00F944A3">
        <w:rPr>
          <w:rFonts w:ascii="仿宋" w:eastAsia="仿宋" w:hAnsi="仿宋" w:cs="仿宋" w:hint="eastAsia"/>
          <w:sz w:val="32"/>
          <w:szCs w:val="32"/>
        </w:rPr>
        <w:t>年1-</w:t>
      </w:r>
      <w:r w:rsidR="003B516D" w:rsidRPr="00F944A3">
        <w:rPr>
          <w:rFonts w:ascii="仿宋" w:eastAsia="仿宋" w:hAnsi="仿宋" w:cs="仿宋" w:hint="eastAsia"/>
          <w:sz w:val="32"/>
          <w:szCs w:val="32"/>
        </w:rPr>
        <w:t>2</w:t>
      </w:r>
      <w:r w:rsidRPr="00F944A3">
        <w:rPr>
          <w:rFonts w:ascii="仿宋" w:eastAsia="仿宋" w:hAnsi="仿宋" w:cs="仿宋" w:hint="eastAsia"/>
          <w:sz w:val="32"/>
          <w:szCs w:val="32"/>
        </w:rPr>
        <w:t>月全省规模以上企业熟料累计产量</w:t>
      </w:r>
      <w:r w:rsidR="003B516D" w:rsidRPr="00F944A3">
        <w:rPr>
          <w:rFonts w:ascii="仿宋" w:eastAsia="仿宋" w:hAnsi="仿宋" w:cs="仿宋" w:hint="eastAsia"/>
          <w:sz w:val="32"/>
          <w:szCs w:val="32"/>
        </w:rPr>
        <w:t>840.7</w:t>
      </w:r>
      <w:r w:rsidRPr="00F944A3">
        <w:rPr>
          <w:rFonts w:ascii="仿宋" w:eastAsia="仿宋" w:hAnsi="仿宋" w:cs="仿宋" w:hint="eastAsia"/>
          <w:sz w:val="32"/>
          <w:szCs w:val="32"/>
        </w:rPr>
        <w:t>万吨，占全国熟料产量的</w:t>
      </w:r>
      <w:r w:rsidR="003B516D" w:rsidRPr="00F944A3">
        <w:rPr>
          <w:rFonts w:ascii="仿宋" w:eastAsia="仿宋" w:hAnsi="仿宋" w:cs="仿宋" w:hint="eastAsia"/>
          <w:sz w:val="32"/>
          <w:szCs w:val="32"/>
        </w:rPr>
        <w:t>4.89</w:t>
      </w:r>
      <w:r w:rsidRPr="00F944A3">
        <w:rPr>
          <w:rFonts w:ascii="仿宋" w:eastAsia="仿宋" w:hAnsi="仿宋" w:cs="仿宋" w:hint="eastAsia"/>
          <w:sz w:val="32"/>
          <w:szCs w:val="32"/>
        </w:rPr>
        <w:t>%（全国熟料累计产量</w:t>
      </w:r>
      <w:r w:rsidR="003B516D" w:rsidRPr="00F944A3">
        <w:rPr>
          <w:rFonts w:ascii="仿宋" w:eastAsia="仿宋" w:hAnsi="仿宋" w:cs="仿宋" w:hint="eastAsia"/>
          <w:sz w:val="32"/>
          <w:szCs w:val="32"/>
        </w:rPr>
        <w:t>17177万</w:t>
      </w:r>
      <w:r w:rsidRPr="00F944A3">
        <w:rPr>
          <w:rFonts w:ascii="仿宋" w:eastAsia="仿宋" w:hAnsi="仿宋" w:cs="仿宋" w:hint="eastAsia"/>
          <w:sz w:val="32"/>
          <w:szCs w:val="32"/>
        </w:rPr>
        <w:t>吨，同比增长</w:t>
      </w:r>
      <w:r w:rsidR="003B516D" w:rsidRPr="00F944A3">
        <w:rPr>
          <w:rFonts w:ascii="仿宋" w:eastAsia="仿宋" w:hAnsi="仿宋" w:cs="仿宋" w:hint="eastAsia"/>
          <w:sz w:val="32"/>
          <w:szCs w:val="32"/>
        </w:rPr>
        <w:t>9.25</w:t>
      </w:r>
      <w:r w:rsidR="00776593" w:rsidRPr="00F944A3">
        <w:rPr>
          <w:rFonts w:ascii="仿宋" w:eastAsia="仿宋" w:hAnsi="仿宋" w:cs="仿宋" w:hint="eastAsia"/>
          <w:sz w:val="32"/>
          <w:szCs w:val="32"/>
        </w:rPr>
        <w:t>%</w:t>
      </w:r>
      <w:r w:rsidRPr="00F944A3">
        <w:rPr>
          <w:rFonts w:ascii="仿宋" w:eastAsia="仿宋" w:hAnsi="仿宋" w:cs="仿宋" w:hint="eastAsia"/>
          <w:sz w:val="32"/>
          <w:szCs w:val="32"/>
        </w:rPr>
        <w:t>）</w:t>
      </w:r>
      <w:r w:rsidR="00776593" w:rsidRPr="00F944A3">
        <w:rPr>
          <w:rFonts w:ascii="仿宋" w:eastAsia="仿宋" w:hAnsi="仿宋" w:cs="仿宋" w:hint="eastAsia"/>
          <w:sz w:val="32"/>
          <w:szCs w:val="32"/>
        </w:rPr>
        <w:t>。</w:t>
      </w:r>
      <w:r w:rsidRPr="00F944A3">
        <w:rPr>
          <w:rFonts w:ascii="仿宋" w:eastAsia="仿宋" w:hAnsi="仿宋" w:cs="仿宋" w:hint="eastAsia"/>
          <w:sz w:val="32"/>
          <w:szCs w:val="32"/>
        </w:rPr>
        <w:t xml:space="preserve"> </w:t>
      </w:r>
    </w:p>
    <w:p w:rsidR="006F572C" w:rsidRPr="0051594A" w:rsidRDefault="00BD155E" w:rsidP="00C66E39">
      <w:pPr>
        <w:spacing w:line="276" w:lineRule="auto"/>
        <w:jc w:val="center"/>
        <w:rPr>
          <w:rFonts w:asciiTheme="minorEastAsia" w:hAnsiTheme="minorEastAsia" w:cs="仿宋"/>
          <w:b/>
          <w:sz w:val="24"/>
          <w:szCs w:val="24"/>
        </w:rPr>
      </w:pPr>
      <w:r w:rsidRPr="0051594A">
        <w:rPr>
          <w:rFonts w:asciiTheme="minorEastAsia" w:hAnsiTheme="minorEastAsia" w:cs="仿宋" w:hint="eastAsia"/>
          <w:b/>
          <w:sz w:val="24"/>
          <w:szCs w:val="24"/>
        </w:rPr>
        <w:t>图</w:t>
      </w:r>
      <w:r w:rsidR="00C66E39" w:rsidRPr="0051594A">
        <w:rPr>
          <w:rFonts w:asciiTheme="minorEastAsia" w:hAnsiTheme="minorEastAsia" w:cs="仿宋" w:hint="eastAsia"/>
          <w:b/>
          <w:sz w:val="24"/>
          <w:szCs w:val="24"/>
        </w:rPr>
        <w:t>1</w:t>
      </w:r>
      <w:r w:rsidRPr="0051594A">
        <w:rPr>
          <w:rFonts w:asciiTheme="minorEastAsia" w:hAnsiTheme="minorEastAsia" w:cs="仿宋" w:hint="eastAsia"/>
          <w:b/>
          <w:sz w:val="24"/>
          <w:szCs w:val="24"/>
        </w:rPr>
        <w:t>：201</w:t>
      </w:r>
      <w:r w:rsidR="003B516D" w:rsidRPr="0051594A">
        <w:rPr>
          <w:rFonts w:asciiTheme="minorEastAsia" w:hAnsiTheme="minorEastAsia" w:cs="仿宋" w:hint="eastAsia"/>
          <w:b/>
          <w:sz w:val="24"/>
          <w:szCs w:val="24"/>
        </w:rPr>
        <w:t>9</w:t>
      </w:r>
      <w:r w:rsidRPr="0051594A">
        <w:rPr>
          <w:rFonts w:asciiTheme="minorEastAsia" w:hAnsiTheme="minorEastAsia" w:cs="仿宋" w:hint="eastAsia"/>
          <w:b/>
          <w:sz w:val="24"/>
          <w:szCs w:val="24"/>
        </w:rPr>
        <w:t>年1-</w:t>
      </w:r>
      <w:r w:rsidR="003B516D" w:rsidRPr="0051594A">
        <w:rPr>
          <w:rFonts w:asciiTheme="minorEastAsia" w:hAnsiTheme="minorEastAsia" w:cs="仿宋" w:hint="eastAsia"/>
          <w:b/>
          <w:sz w:val="24"/>
          <w:szCs w:val="24"/>
        </w:rPr>
        <w:t>2</w:t>
      </w:r>
      <w:r w:rsidRPr="0051594A">
        <w:rPr>
          <w:rFonts w:asciiTheme="minorEastAsia" w:hAnsiTheme="minorEastAsia" w:cs="仿宋" w:hint="eastAsia"/>
          <w:b/>
          <w:sz w:val="24"/>
          <w:szCs w:val="24"/>
        </w:rPr>
        <w:t>月全省水泥熟料累计产量（万吨）和同比增长率</w:t>
      </w:r>
    </w:p>
    <w:p w:rsidR="006F572C" w:rsidRPr="0051594A" w:rsidRDefault="003B516D" w:rsidP="00C66E39">
      <w:pPr>
        <w:spacing w:line="276" w:lineRule="auto"/>
        <w:jc w:val="center"/>
        <w:rPr>
          <w:rFonts w:ascii="仿宋" w:eastAsia="仿宋" w:hAnsi="仿宋" w:cs="仿宋"/>
          <w:sz w:val="28"/>
          <w:szCs w:val="28"/>
        </w:rPr>
      </w:pPr>
      <w:r w:rsidRPr="0051594A">
        <w:rPr>
          <w:rFonts w:ascii="仿宋" w:eastAsia="仿宋" w:hAnsi="仿宋" w:cs="仿宋" w:hint="eastAsia"/>
          <w:noProof/>
          <w:sz w:val="28"/>
          <w:szCs w:val="28"/>
        </w:rPr>
        <w:drawing>
          <wp:inline distT="0" distB="0" distL="0" distR="0">
            <wp:extent cx="4663482" cy="2557305"/>
            <wp:effectExtent l="19050" t="0" r="3768" b="0"/>
            <wp:docPr id="7" name="图片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693"/>
                    <a:stretch>
                      <a:fillRect/>
                    </a:stretch>
                  </pic:blipFill>
                  <pic:spPr>
                    <a:xfrm>
                      <a:off x="0" y="0"/>
                      <a:ext cx="4663482" cy="2557305"/>
                    </a:xfrm>
                    <a:prstGeom prst="rect">
                      <a:avLst/>
                    </a:prstGeom>
                  </pic:spPr>
                </pic:pic>
              </a:graphicData>
            </a:graphic>
          </wp:inline>
        </w:drawing>
      </w:r>
    </w:p>
    <w:p w:rsidR="006F572C" w:rsidRPr="00F944A3" w:rsidRDefault="003B516D" w:rsidP="00F944A3">
      <w:pPr>
        <w:spacing w:line="276" w:lineRule="auto"/>
        <w:ind w:firstLineChars="200" w:firstLine="640"/>
        <w:rPr>
          <w:rFonts w:ascii="仿宋" w:eastAsia="仿宋" w:hAnsi="仿宋" w:cs="仿宋"/>
          <w:sz w:val="32"/>
          <w:szCs w:val="32"/>
        </w:rPr>
      </w:pPr>
      <w:r w:rsidRPr="00F944A3">
        <w:rPr>
          <w:rFonts w:ascii="仿宋" w:eastAsia="仿宋" w:hAnsi="仿宋" w:cs="仿宋" w:hint="eastAsia"/>
          <w:sz w:val="32"/>
          <w:szCs w:val="32"/>
        </w:rPr>
        <w:t>1-</w:t>
      </w:r>
      <w:r w:rsidR="00EB37BB" w:rsidRPr="00F944A3">
        <w:rPr>
          <w:rFonts w:ascii="仿宋" w:eastAsia="仿宋" w:hAnsi="仿宋" w:cs="仿宋" w:hint="eastAsia"/>
          <w:sz w:val="32"/>
          <w:szCs w:val="32"/>
        </w:rPr>
        <w:t>2</w:t>
      </w:r>
      <w:r w:rsidR="00BD155E" w:rsidRPr="00F944A3">
        <w:rPr>
          <w:rFonts w:ascii="仿宋" w:eastAsia="仿宋" w:hAnsi="仿宋" w:cs="仿宋" w:hint="eastAsia"/>
          <w:sz w:val="32"/>
          <w:szCs w:val="32"/>
        </w:rPr>
        <w:t>月份全省规模以上企业水泥累计产量</w:t>
      </w:r>
      <w:r w:rsidRPr="00F944A3">
        <w:rPr>
          <w:rFonts w:ascii="仿宋" w:eastAsia="仿宋" w:hAnsi="仿宋" w:cs="仿宋" w:hint="eastAsia"/>
          <w:sz w:val="32"/>
          <w:szCs w:val="32"/>
        </w:rPr>
        <w:t>948.83万</w:t>
      </w:r>
      <w:r w:rsidR="00BD155E" w:rsidRPr="00F944A3">
        <w:rPr>
          <w:rFonts w:ascii="仿宋" w:eastAsia="仿宋" w:hAnsi="仿宋" w:cs="仿宋" w:hint="eastAsia"/>
          <w:sz w:val="32"/>
          <w:szCs w:val="32"/>
        </w:rPr>
        <w:t>吨，</w:t>
      </w:r>
      <w:r w:rsidR="00BD155E" w:rsidRPr="00F944A3">
        <w:rPr>
          <w:rFonts w:ascii="仿宋" w:eastAsia="仿宋" w:hAnsi="仿宋" w:cs="仿宋" w:hint="eastAsia"/>
          <w:sz w:val="32"/>
          <w:szCs w:val="32"/>
        </w:rPr>
        <w:lastRenderedPageBreak/>
        <w:t>同比增</w:t>
      </w:r>
      <w:r w:rsidR="00DE2320" w:rsidRPr="00F944A3">
        <w:rPr>
          <w:rFonts w:ascii="仿宋" w:eastAsia="仿宋" w:hAnsi="仿宋" w:cs="仿宋" w:hint="eastAsia"/>
          <w:sz w:val="32"/>
          <w:szCs w:val="32"/>
        </w:rPr>
        <w:t>长</w:t>
      </w:r>
      <w:r w:rsidRPr="00F944A3">
        <w:rPr>
          <w:rFonts w:ascii="仿宋" w:eastAsia="仿宋" w:hAnsi="仿宋" w:cs="仿宋" w:hint="eastAsia"/>
          <w:sz w:val="32"/>
          <w:szCs w:val="32"/>
        </w:rPr>
        <w:t>19</w:t>
      </w:r>
      <w:r w:rsidR="00DE2320" w:rsidRPr="00F944A3">
        <w:rPr>
          <w:rFonts w:ascii="仿宋" w:eastAsia="仿宋" w:hAnsi="仿宋" w:cs="仿宋" w:hint="eastAsia"/>
          <w:sz w:val="32"/>
          <w:szCs w:val="32"/>
        </w:rPr>
        <w:t>%</w:t>
      </w:r>
      <w:r w:rsidR="00BD155E" w:rsidRPr="00F944A3">
        <w:rPr>
          <w:rFonts w:ascii="仿宋" w:eastAsia="仿宋" w:hAnsi="仿宋" w:cs="仿宋" w:hint="eastAsia"/>
          <w:sz w:val="32"/>
          <w:szCs w:val="32"/>
        </w:rPr>
        <w:t>，占全国产量的</w:t>
      </w:r>
      <w:r w:rsidRPr="00F944A3">
        <w:rPr>
          <w:rFonts w:ascii="仿宋" w:eastAsia="仿宋" w:hAnsi="仿宋" w:cs="仿宋" w:hint="eastAsia"/>
          <w:sz w:val="32"/>
          <w:szCs w:val="32"/>
        </w:rPr>
        <w:t>4.48</w:t>
      </w:r>
      <w:r w:rsidR="00BD155E" w:rsidRPr="00F944A3">
        <w:rPr>
          <w:rFonts w:ascii="仿宋" w:eastAsia="仿宋" w:hAnsi="仿宋" w:cs="仿宋" w:hint="eastAsia"/>
          <w:sz w:val="32"/>
          <w:szCs w:val="32"/>
        </w:rPr>
        <w:t>%（全国水泥累计产量</w:t>
      </w:r>
      <w:r w:rsidRPr="00F944A3">
        <w:rPr>
          <w:rFonts w:ascii="仿宋" w:eastAsia="仿宋" w:hAnsi="仿宋" w:cs="仿宋" w:hint="eastAsia"/>
          <w:sz w:val="32"/>
          <w:szCs w:val="32"/>
        </w:rPr>
        <w:t>21180万</w:t>
      </w:r>
      <w:r w:rsidR="00BD155E" w:rsidRPr="00F944A3">
        <w:rPr>
          <w:rFonts w:ascii="仿宋" w:eastAsia="仿宋" w:hAnsi="仿宋" w:cs="仿宋" w:hint="eastAsia"/>
          <w:sz w:val="32"/>
          <w:szCs w:val="32"/>
        </w:rPr>
        <w:t>吨，同比增长</w:t>
      </w:r>
      <w:r w:rsidRPr="00F944A3">
        <w:rPr>
          <w:rFonts w:ascii="仿宋" w:eastAsia="仿宋" w:hAnsi="仿宋" w:cs="仿宋" w:hint="eastAsia"/>
          <w:sz w:val="32"/>
          <w:szCs w:val="32"/>
        </w:rPr>
        <w:t>0.54</w:t>
      </w:r>
      <w:r w:rsidR="00BD155E" w:rsidRPr="00F944A3">
        <w:rPr>
          <w:rFonts w:ascii="仿宋" w:eastAsia="仿宋" w:hAnsi="仿宋" w:cs="仿宋" w:hint="eastAsia"/>
          <w:sz w:val="32"/>
          <w:szCs w:val="32"/>
        </w:rPr>
        <w:t>%）1-</w:t>
      </w:r>
      <w:r w:rsidRPr="00F944A3">
        <w:rPr>
          <w:rFonts w:ascii="仿宋" w:eastAsia="仿宋" w:hAnsi="仿宋" w:cs="仿宋" w:hint="eastAsia"/>
          <w:sz w:val="32"/>
          <w:szCs w:val="32"/>
        </w:rPr>
        <w:t>2</w:t>
      </w:r>
      <w:r w:rsidR="00BD155E" w:rsidRPr="00F944A3">
        <w:rPr>
          <w:rFonts w:ascii="仿宋" w:eastAsia="仿宋" w:hAnsi="仿宋" w:cs="仿宋" w:hint="eastAsia"/>
          <w:sz w:val="32"/>
          <w:szCs w:val="32"/>
        </w:rPr>
        <w:t>月我省水泥累计产量全国第</w:t>
      </w:r>
      <w:r w:rsidR="00E52569" w:rsidRPr="00F944A3">
        <w:rPr>
          <w:rFonts w:ascii="仿宋" w:eastAsia="仿宋" w:hAnsi="仿宋" w:cs="仿宋" w:hint="eastAsia"/>
          <w:sz w:val="32"/>
          <w:szCs w:val="32"/>
        </w:rPr>
        <w:t>13</w:t>
      </w:r>
      <w:r w:rsidR="00BD155E" w:rsidRPr="00F944A3">
        <w:rPr>
          <w:rFonts w:ascii="仿宋" w:eastAsia="仿宋" w:hAnsi="仿宋" w:cs="仿宋" w:hint="eastAsia"/>
          <w:sz w:val="32"/>
          <w:szCs w:val="32"/>
        </w:rPr>
        <w:t>位。</w:t>
      </w:r>
      <w:r w:rsidR="00BD155E" w:rsidRPr="00F944A3">
        <w:rPr>
          <w:rFonts w:ascii="仿宋" w:eastAsia="仿宋" w:hAnsi="仿宋" w:hint="eastAsia"/>
          <w:sz w:val="32"/>
          <w:szCs w:val="32"/>
        </w:rPr>
        <w:t>今年以来我省水泥市场需求仍然较弱，水泥行业的产量、销量都有所下降。</w:t>
      </w:r>
    </w:p>
    <w:p w:rsidR="006F572C" w:rsidRPr="0051594A" w:rsidRDefault="00BD155E" w:rsidP="0051594A">
      <w:pPr>
        <w:spacing w:line="276" w:lineRule="auto"/>
        <w:ind w:firstLineChars="200" w:firstLine="482"/>
        <w:jc w:val="center"/>
        <w:rPr>
          <w:rFonts w:asciiTheme="minorEastAsia" w:hAnsiTheme="minorEastAsia" w:cs="仿宋"/>
          <w:b/>
          <w:sz w:val="24"/>
          <w:szCs w:val="24"/>
        </w:rPr>
      </w:pPr>
      <w:r w:rsidRPr="0051594A">
        <w:rPr>
          <w:rFonts w:asciiTheme="minorEastAsia" w:hAnsiTheme="minorEastAsia" w:cs="仿宋" w:hint="eastAsia"/>
          <w:b/>
          <w:sz w:val="24"/>
          <w:szCs w:val="24"/>
        </w:rPr>
        <w:t>图</w:t>
      </w:r>
      <w:r w:rsidR="00C66E39" w:rsidRPr="0051594A">
        <w:rPr>
          <w:rFonts w:asciiTheme="minorEastAsia" w:hAnsiTheme="minorEastAsia" w:cs="仿宋" w:hint="eastAsia"/>
          <w:b/>
          <w:sz w:val="24"/>
          <w:szCs w:val="24"/>
        </w:rPr>
        <w:t>2</w:t>
      </w:r>
      <w:r w:rsidRPr="0051594A">
        <w:rPr>
          <w:rFonts w:asciiTheme="minorEastAsia" w:hAnsiTheme="minorEastAsia" w:cs="仿宋" w:hint="eastAsia"/>
          <w:b/>
          <w:sz w:val="24"/>
          <w:szCs w:val="24"/>
        </w:rPr>
        <w:t>：201</w:t>
      </w:r>
      <w:r w:rsidR="00E52569" w:rsidRPr="0051594A">
        <w:rPr>
          <w:rFonts w:asciiTheme="minorEastAsia" w:hAnsiTheme="minorEastAsia" w:cs="仿宋" w:hint="eastAsia"/>
          <w:b/>
          <w:sz w:val="24"/>
          <w:szCs w:val="24"/>
        </w:rPr>
        <w:t>9</w:t>
      </w:r>
      <w:r w:rsidRPr="0051594A">
        <w:rPr>
          <w:rFonts w:asciiTheme="minorEastAsia" w:hAnsiTheme="minorEastAsia" w:cs="仿宋" w:hint="eastAsia"/>
          <w:b/>
          <w:sz w:val="24"/>
          <w:szCs w:val="24"/>
        </w:rPr>
        <w:t>年</w:t>
      </w:r>
      <w:r w:rsidR="00E52569" w:rsidRPr="0051594A">
        <w:rPr>
          <w:rFonts w:asciiTheme="minorEastAsia" w:hAnsiTheme="minorEastAsia" w:cs="仿宋" w:hint="eastAsia"/>
          <w:b/>
          <w:sz w:val="24"/>
          <w:szCs w:val="24"/>
        </w:rPr>
        <w:t>1-</w:t>
      </w:r>
      <w:r w:rsidR="002D2B75" w:rsidRPr="0051594A">
        <w:rPr>
          <w:rFonts w:asciiTheme="minorEastAsia" w:hAnsiTheme="minorEastAsia" w:cs="仿宋" w:hint="eastAsia"/>
          <w:b/>
          <w:sz w:val="24"/>
          <w:szCs w:val="24"/>
        </w:rPr>
        <w:t>2</w:t>
      </w:r>
      <w:r w:rsidRPr="0051594A">
        <w:rPr>
          <w:rFonts w:asciiTheme="minorEastAsia" w:hAnsiTheme="minorEastAsia" w:cs="仿宋" w:hint="eastAsia"/>
          <w:b/>
          <w:sz w:val="24"/>
          <w:szCs w:val="24"/>
        </w:rPr>
        <w:t>月水泥累计产量排名前十</w:t>
      </w:r>
      <w:r w:rsidR="00E52569" w:rsidRPr="0051594A">
        <w:rPr>
          <w:rFonts w:asciiTheme="minorEastAsia" w:hAnsiTheme="minorEastAsia" w:cs="仿宋" w:hint="eastAsia"/>
          <w:b/>
          <w:sz w:val="24"/>
          <w:szCs w:val="24"/>
        </w:rPr>
        <w:t>三</w:t>
      </w:r>
      <w:r w:rsidRPr="0051594A">
        <w:rPr>
          <w:rFonts w:asciiTheme="minorEastAsia" w:hAnsiTheme="minorEastAsia" w:cs="仿宋" w:hint="eastAsia"/>
          <w:b/>
          <w:sz w:val="24"/>
          <w:szCs w:val="24"/>
        </w:rPr>
        <w:t>位的省份</w:t>
      </w:r>
    </w:p>
    <w:p w:rsidR="006F572C" w:rsidRPr="0051594A" w:rsidRDefault="00E52569" w:rsidP="00C66E39">
      <w:pPr>
        <w:spacing w:line="276" w:lineRule="auto"/>
        <w:rPr>
          <w:rFonts w:ascii="黑体" w:eastAsia="黑体" w:hAnsi="黑体" w:cs="仿宋"/>
          <w:sz w:val="28"/>
          <w:szCs w:val="28"/>
        </w:rPr>
      </w:pPr>
      <w:r w:rsidRPr="0051594A">
        <w:rPr>
          <w:rFonts w:ascii="黑体" w:eastAsia="黑体" w:hAnsi="黑体" w:cs="仿宋"/>
          <w:noProof/>
          <w:sz w:val="28"/>
          <w:szCs w:val="28"/>
        </w:rPr>
        <w:drawing>
          <wp:inline distT="0" distB="0" distL="0" distR="0">
            <wp:extent cx="5149781" cy="2692959"/>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72C" w:rsidRPr="0051594A" w:rsidRDefault="00BD155E" w:rsidP="00C66E39">
      <w:pPr>
        <w:spacing w:line="276" w:lineRule="auto"/>
        <w:jc w:val="center"/>
        <w:rPr>
          <w:rFonts w:ascii="仿宋" w:eastAsia="仿宋" w:hAnsi="仿宋"/>
          <w:sz w:val="24"/>
          <w:szCs w:val="24"/>
        </w:rPr>
      </w:pPr>
      <w:r w:rsidRPr="0051594A">
        <w:rPr>
          <w:rFonts w:ascii="仿宋" w:eastAsia="仿宋" w:hAnsi="仿宋" w:hint="eastAsia"/>
          <w:b/>
          <w:bCs/>
          <w:sz w:val="24"/>
          <w:szCs w:val="24"/>
        </w:rPr>
        <w:t xml:space="preserve"> 表</w:t>
      </w:r>
      <w:r w:rsidR="00C66E39" w:rsidRPr="0051594A">
        <w:rPr>
          <w:rFonts w:ascii="仿宋" w:eastAsia="仿宋" w:hAnsi="仿宋" w:hint="eastAsia"/>
          <w:b/>
          <w:bCs/>
          <w:sz w:val="24"/>
          <w:szCs w:val="24"/>
        </w:rPr>
        <w:t>1</w:t>
      </w:r>
      <w:r w:rsidRPr="0051594A">
        <w:rPr>
          <w:rFonts w:ascii="仿宋" w:eastAsia="仿宋" w:hAnsi="仿宋" w:hint="eastAsia"/>
          <w:b/>
          <w:bCs/>
          <w:sz w:val="24"/>
          <w:szCs w:val="24"/>
        </w:rPr>
        <w:t>：201</w:t>
      </w:r>
      <w:r w:rsidR="00B47A1F" w:rsidRPr="0051594A">
        <w:rPr>
          <w:rFonts w:ascii="仿宋" w:eastAsia="仿宋" w:hAnsi="仿宋" w:hint="eastAsia"/>
          <w:b/>
          <w:bCs/>
          <w:sz w:val="24"/>
          <w:szCs w:val="24"/>
        </w:rPr>
        <w:t>9</w:t>
      </w:r>
      <w:r w:rsidRPr="0051594A">
        <w:rPr>
          <w:rFonts w:ascii="仿宋" w:eastAsia="仿宋" w:hAnsi="仿宋" w:hint="eastAsia"/>
          <w:b/>
          <w:bCs/>
          <w:sz w:val="24"/>
          <w:szCs w:val="24"/>
        </w:rPr>
        <w:t>年</w:t>
      </w:r>
      <w:r w:rsidR="00B47A1F" w:rsidRPr="0051594A">
        <w:rPr>
          <w:rFonts w:ascii="仿宋" w:eastAsia="仿宋" w:hAnsi="仿宋" w:hint="eastAsia"/>
          <w:b/>
          <w:bCs/>
          <w:sz w:val="24"/>
          <w:szCs w:val="24"/>
        </w:rPr>
        <w:t>1-</w:t>
      </w:r>
      <w:r w:rsidR="00891492" w:rsidRPr="0051594A">
        <w:rPr>
          <w:rFonts w:ascii="仿宋" w:eastAsia="仿宋" w:hAnsi="仿宋" w:hint="eastAsia"/>
          <w:b/>
          <w:bCs/>
          <w:sz w:val="24"/>
          <w:szCs w:val="24"/>
        </w:rPr>
        <w:t>2</w:t>
      </w:r>
      <w:r w:rsidRPr="0051594A">
        <w:rPr>
          <w:rFonts w:ascii="仿宋" w:eastAsia="仿宋" w:hAnsi="仿宋" w:hint="eastAsia"/>
          <w:b/>
          <w:bCs/>
          <w:sz w:val="24"/>
          <w:szCs w:val="24"/>
        </w:rPr>
        <w:t>月河南周边省份的水泥产量情况</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2574"/>
        <w:gridCol w:w="3060"/>
      </w:tblGrid>
      <w:tr w:rsidR="006F572C" w:rsidRPr="0051594A" w:rsidTr="0051594A">
        <w:trPr>
          <w:trHeight w:hRule="exact" w:val="397"/>
          <w:jc w:val="center"/>
        </w:trPr>
        <w:tc>
          <w:tcPr>
            <w:tcW w:w="2976" w:type="dxa"/>
            <w:shd w:val="clear" w:color="000000" w:fill="948B54"/>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省  份</w:t>
            </w:r>
          </w:p>
        </w:tc>
        <w:tc>
          <w:tcPr>
            <w:tcW w:w="2574" w:type="dxa"/>
            <w:shd w:val="clear" w:color="000000" w:fill="948B54"/>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产量（万吨）</w:t>
            </w:r>
          </w:p>
        </w:tc>
        <w:tc>
          <w:tcPr>
            <w:tcW w:w="3060" w:type="dxa"/>
            <w:shd w:val="clear" w:color="000000" w:fill="948B54"/>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增长率</w:t>
            </w:r>
          </w:p>
        </w:tc>
      </w:tr>
      <w:tr w:rsidR="006F572C" w:rsidRPr="0051594A" w:rsidTr="0051594A">
        <w:trPr>
          <w:trHeight w:hRule="exact" w:val="397"/>
          <w:jc w:val="center"/>
        </w:trPr>
        <w:tc>
          <w:tcPr>
            <w:tcW w:w="2976" w:type="dxa"/>
            <w:shd w:val="clear" w:color="000000" w:fill="FFFFFF"/>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河南省</w:t>
            </w:r>
          </w:p>
        </w:tc>
        <w:tc>
          <w:tcPr>
            <w:tcW w:w="2574" w:type="dxa"/>
            <w:shd w:val="clear" w:color="000000" w:fill="FFFFFF"/>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948.83</w:t>
            </w:r>
          </w:p>
        </w:tc>
        <w:tc>
          <w:tcPr>
            <w:tcW w:w="3060" w:type="dxa"/>
            <w:shd w:val="clear" w:color="000000" w:fill="FFFFFF"/>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19%</w:t>
            </w:r>
          </w:p>
        </w:tc>
      </w:tr>
      <w:tr w:rsidR="006F572C" w:rsidRPr="0051594A" w:rsidTr="0051594A">
        <w:trPr>
          <w:trHeight w:hRule="exact" w:val="397"/>
          <w:jc w:val="center"/>
        </w:trPr>
        <w:tc>
          <w:tcPr>
            <w:tcW w:w="2976" w:type="dxa"/>
            <w:shd w:val="clear" w:color="000000" w:fill="C5BE97"/>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河北省</w:t>
            </w:r>
          </w:p>
        </w:tc>
        <w:tc>
          <w:tcPr>
            <w:tcW w:w="2574" w:type="dxa"/>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592.15</w:t>
            </w:r>
          </w:p>
        </w:tc>
        <w:tc>
          <w:tcPr>
            <w:tcW w:w="3060" w:type="dxa"/>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27.84%</w:t>
            </w:r>
          </w:p>
        </w:tc>
      </w:tr>
      <w:tr w:rsidR="006F572C" w:rsidRPr="0051594A" w:rsidTr="0051594A">
        <w:trPr>
          <w:trHeight w:hRule="exact" w:val="397"/>
          <w:jc w:val="center"/>
        </w:trPr>
        <w:tc>
          <w:tcPr>
            <w:tcW w:w="2976" w:type="dxa"/>
            <w:shd w:val="clear" w:color="auto" w:fill="auto"/>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陕西省</w:t>
            </w:r>
          </w:p>
        </w:tc>
        <w:tc>
          <w:tcPr>
            <w:tcW w:w="2574" w:type="dxa"/>
            <w:shd w:val="clear" w:color="auto" w:fill="auto"/>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483.03</w:t>
            </w:r>
          </w:p>
        </w:tc>
        <w:tc>
          <w:tcPr>
            <w:tcW w:w="3060" w:type="dxa"/>
            <w:shd w:val="clear" w:color="auto" w:fill="auto"/>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17.24%</w:t>
            </w:r>
          </w:p>
        </w:tc>
      </w:tr>
      <w:tr w:rsidR="006F572C" w:rsidRPr="0051594A" w:rsidTr="0051594A">
        <w:trPr>
          <w:trHeight w:hRule="exact" w:val="397"/>
          <w:jc w:val="center"/>
        </w:trPr>
        <w:tc>
          <w:tcPr>
            <w:tcW w:w="2976" w:type="dxa"/>
            <w:tcBorders>
              <w:bottom w:val="single" w:sz="4" w:space="0" w:color="auto"/>
            </w:tcBorders>
            <w:shd w:val="clear" w:color="000000" w:fill="C5BE97"/>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山西省</w:t>
            </w:r>
          </w:p>
        </w:tc>
        <w:tc>
          <w:tcPr>
            <w:tcW w:w="2574" w:type="dxa"/>
            <w:tcBorders>
              <w:bottom w:val="single" w:sz="4" w:space="0" w:color="auto"/>
            </w:tcBorders>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186.32</w:t>
            </w:r>
          </w:p>
        </w:tc>
        <w:tc>
          <w:tcPr>
            <w:tcW w:w="3060" w:type="dxa"/>
            <w:tcBorders>
              <w:bottom w:val="single" w:sz="4" w:space="0" w:color="auto"/>
            </w:tcBorders>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83.81%</w:t>
            </w:r>
          </w:p>
        </w:tc>
      </w:tr>
      <w:tr w:rsidR="006F572C" w:rsidRPr="0051594A" w:rsidTr="0051594A">
        <w:trPr>
          <w:trHeight w:hRule="exact" w:val="397"/>
          <w:jc w:val="center"/>
        </w:trPr>
        <w:tc>
          <w:tcPr>
            <w:tcW w:w="2976" w:type="dxa"/>
            <w:shd w:val="clear" w:color="000000" w:fill="FFFFFF" w:themeFill="background1"/>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湖北省</w:t>
            </w:r>
          </w:p>
        </w:tc>
        <w:tc>
          <w:tcPr>
            <w:tcW w:w="2574" w:type="dxa"/>
            <w:shd w:val="clear" w:color="000000" w:fill="FFFFFF" w:themeFill="background1"/>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1130.96</w:t>
            </w:r>
          </w:p>
        </w:tc>
        <w:tc>
          <w:tcPr>
            <w:tcW w:w="3060" w:type="dxa"/>
            <w:shd w:val="clear" w:color="000000" w:fill="FFFFFF" w:themeFill="background1"/>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6.48%</w:t>
            </w:r>
          </w:p>
        </w:tc>
      </w:tr>
      <w:tr w:rsidR="006F572C" w:rsidRPr="0051594A" w:rsidTr="0051594A">
        <w:trPr>
          <w:trHeight w:hRule="exact" w:val="397"/>
          <w:jc w:val="center"/>
        </w:trPr>
        <w:tc>
          <w:tcPr>
            <w:tcW w:w="2976" w:type="dxa"/>
            <w:shd w:val="clear" w:color="000000" w:fill="C5BE97"/>
            <w:vAlign w:val="center"/>
          </w:tcPr>
          <w:p w:rsidR="006F572C" w:rsidRPr="0051594A" w:rsidRDefault="00BD155E" w:rsidP="00C66E39">
            <w:pPr>
              <w:jc w:val="center"/>
              <w:rPr>
                <w:rFonts w:asciiTheme="minorEastAsia" w:hAnsiTheme="minorEastAsia"/>
                <w:sz w:val="24"/>
                <w:szCs w:val="24"/>
              </w:rPr>
            </w:pPr>
            <w:r w:rsidRPr="0051594A">
              <w:rPr>
                <w:rFonts w:asciiTheme="minorEastAsia" w:hAnsiTheme="minorEastAsia" w:hint="eastAsia"/>
                <w:sz w:val="24"/>
                <w:szCs w:val="24"/>
              </w:rPr>
              <w:t>山东省</w:t>
            </w:r>
          </w:p>
        </w:tc>
        <w:tc>
          <w:tcPr>
            <w:tcW w:w="2574" w:type="dxa"/>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982.24</w:t>
            </w:r>
          </w:p>
        </w:tc>
        <w:tc>
          <w:tcPr>
            <w:tcW w:w="3060" w:type="dxa"/>
            <w:shd w:val="clear" w:color="000000" w:fill="C5BE97"/>
            <w:vAlign w:val="center"/>
          </w:tcPr>
          <w:p w:rsidR="006F572C" w:rsidRPr="0051594A" w:rsidRDefault="00B47A1F" w:rsidP="00C66E39">
            <w:pPr>
              <w:jc w:val="center"/>
              <w:rPr>
                <w:rFonts w:asciiTheme="minorEastAsia" w:hAnsiTheme="minorEastAsia"/>
                <w:sz w:val="24"/>
                <w:szCs w:val="24"/>
              </w:rPr>
            </w:pPr>
            <w:r w:rsidRPr="0051594A">
              <w:rPr>
                <w:rFonts w:asciiTheme="minorEastAsia" w:hAnsiTheme="minorEastAsia" w:hint="eastAsia"/>
                <w:sz w:val="24"/>
                <w:szCs w:val="24"/>
              </w:rPr>
              <w:t>28.93%</w:t>
            </w:r>
          </w:p>
        </w:tc>
      </w:tr>
    </w:tbl>
    <w:p w:rsidR="00015DD0" w:rsidRPr="00F944A3" w:rsidRDefault="003374BF" w:rsidP="00F944A3">
      <w:pPr>
        <w:tabs>
          <w:tab w:val="left" w:pos="600"/>
        </w:tabs>
        <w:spacing w:line="276" w:lineRule="auto"/>
        <w:ind w:firstLineChars="200" w:firstLine="640"/>
        <w:rPr>
          <w:rFonts w:ascii="仿宋" w:eastAsia="仿宋" w:hAnsi="仿宋"/>
          <w:sz w:val="32"/>
          <w:szCs w:val="32"/>
        </w:rPr>
      </w:pPr>
      <w:r w:rsidRPr="00F944A3">
        <w:rPr>
          <w:rFonts w:ascii="仿宋" w:eastAsia="仿宋" w:hAnsi="仿宋" w:hint="eastAsia"/>
          <w:sz w:val="32"/>
          <w:szCs w:val="32"/>
        </w:rPr>
        <w:t>按照</w:t>
      </w:r>
      <w:r w:rsidR="00BD155E" w:rsidRPr="00F944A3">
        <w:rPr>
          <w:rFonts w:ascii="仿宋" w:eastAsia="仿宋" w:hAnsi="仿宋" w:hint="eastAsia"/>
          <w:sz w:val="32"/>
          <w:szCs w:val="32"/>
        </w:rPr>
        <w:t>《河南省重点行业差异化错峰生产指导意见的通知》(豫环攻坚办〔2018〕15号)</w:t>
      </w:r>
      <w:r w:rsidRPr="00F944A3">
        <w:rPr>
          <w:rFonts w:ascii="仿宋" w:eastAsia="仿宋" w:hAnsi="仿宋" w:hint="eastAsia"/>
          <w:sz w:val="32"/>
          <w:szCs w:val="32"/>
        </w:rPr>
        <w:t>通知要求，</w:t>
      </w:r>
      <w:r w:rsidR="00BD155E" w:rsidRPr="00F944A3">
        <w:rPr>
          <w:rFonts w:ascii="仿宋" w:eastAsia="仿宋" w:hAnsi="仿宋" w:hint="eastAsia"/>
          <w:sz w:val="32"/>
          <w:szCs w:val="32"/>
        </w:rPr>
        <w:t>建材行业主要包括水泥（含特种</w:t>
      </w:r>
      <w:r w:rsidRPr="00F944A3">
        <w:rPr>
          <w:rFonts w:ascii="仿宋" w:eastAsia="仿宋" w:hAnsi="仿宋" w:hint="eastAsia"/>
          <w:sz w:val="32"/>
          <w:szCs w:val="32"/>
        </w:rPr>
        <w:t>水泥，不含粉磨站和粉磨工序）、砖瓦窑、陶瓷、石膏板、耐材等企业实施差异化错峰生产。全省大部分水泥企业已达到超低排放</w:t>
      </w:r>
      <w:r w:rsidR="005363E9" w:rsidRPr="00F944A3">
        <w:rPr>
          <w:rFonts w:ascii="仿宋" w:eastAsia="仿宋" w:hAnsi="仿宋" w:hint="eastAsia"/>
          <w:sz w:val="32"/>
          <w:szCs w:val="32"/>
        </w:rPr>
        <w:t>标准</w:t>
      </w:r>
      <w:r w:rsidRPr="00F944A3">
        <w:rPr>
          <w:rFonts w:ascii="仿宋" w:eastAsia="仿宋" w:hAnsi="仿宋" w:hint="eastAsia"/>
          <w:sz w:val="32"/>
          <w:szCs w:val="32"/>
        </w:rPr>
        <w:t>（水泥窑废气颗粒物、二氧</w:t>
      </w:r>
      <w:r w:rsidRPr="00F944A3">
        <w:rPr>
          <w:rFonts w:ascii="仿宋" w:eastAsia="仿宋" w:hAnsi="仿宋" w:hint="eastAsia"/>
          <w:sz w:val="32"/>
          <w:szCs w:val="32"/>
        </w:rPr>
        <w:lastRenderedPageBreak/>
        <w:t>化硫、氮氧化物排放浓度分别不高于10毫克/立方米、35毫克/立方米、100毫克/立方米），按此通知规定 1-2月份</w:t>
      </w:r>
      <w:r w:rsidR="006F6EA7" w:rsidRPr="00F944A3">
        <w:rPr>
          <w:rFonts w:ascii="仿宋" w:eastAsia="仿宋" w:hAnsi="仿宋" w:hint="eastAsia"/>
          <w:sz w:val="32"/>
          <w:szCs w:val="32"/>
        </w:rPr>
        <w:t>全省水泥企业</w:t>
      </w:r>
      <w:r w:rsidRPr="00F944A3">
        <w:rPr>
          <w:rFonts w:ascii="仿宋" w:eastAsia="仿宋" w:hAnsi="仿宋" w:hint="eastAsia"/>
          <w:sz w:val="32"/>
          <w:szCs w:val="32"/>
        </w:rPr>
        <w:t>免于错峰停产，</w:t>
      </w:r>
      <w:r w:rsidR="00EA0A17" w:rsidRPr="00F944A3">
        <w:rPr>
          <w:rFonts w:ascii="仿宋" w:eastAsia="仿宋" w:hAnsi="仿宋" w:hint="eastAsia"/>
          <w:sz w:val="32"/>
          <w:szCs w:val="32"/>
        </w:rPr>
        <w:t>但实际开窑率并不高，其原因有：1-2月份以来，我省气温下滑，空气质量差，</w:t>
      </w:r>
      <w:r w:rsidR="000574FA" w:rsidRPr="00F944A3">
        <w:rPr>
          <w:rFonts w:ascii="仿宋" w:eastAsia="仿宋" w:hAnsi="仿宋" w:hint="eastAsia"/>
          <w:sz w:val="32"/>
          <w:szCs w:val="32"/>
        </w:rPr>
        <w:t>大</w:t>
      </w:r>
      <w:r w:rsidR="00EA0A17" w:rsidRPr="00F944A3">
        <w:rPr>
          <w:rFonts w:ascii="仿宋" w:eastAsia="仿宋" w:hAnsi="仿宋" w:hint="eastAsia"/>
          <w:sz w:val="32"/>
          <w:szCs w:val="32"/>
        </w:rPr>
        <w:t>部分地市</w:t>
      </w:r>
      <w:r w:rsidR="000574FA" w:rsidRPr="00F944A3">
        <w:rPr>
          <w:rFonts w:ascii="仿宋" w:eastAsia="仿宋" w:hAnsi="仿宋" w:hint="eastAsia"/>
          <w:sz w:val="32"/>
          <w:szCs w:val="32"/>
        </w:rPr>
        <w:t>在</w:t>
      </w:r>
      <w:r w:rsidR="00EA0A17" w:rsidRPr="00F944A3">
        <w:rPr>
          <w:rFonts w:ascii="仿宋" w:eastAsia="仿宋" w:hAnsi="仿宋" w:hint="eastAsia"/>
          <w:sz w:val="32"/>
          <w:szCs w:val="32"/>
        </w:rPr>
        <w:t>重污染天气</w:t>
      </w:r>
      <w:r w:rsidR="000574FA" w:rsidRPr="00F944A3">
        <w:rPr>
          <w:rFonts w:ascii="仿宋" w:eastAsia="仿宋" w:hAnsi="仿宋" w:hint="eastAsia"/>
          <w:sz w:val="32"/>
          <w:szCs w:val="32"/>
        </w:rPr>
        <w:t>启动</w:t>
      </w:r>
      <w:r w:rsidR="00EA0A17" w:rsidRPr="00F944A3">
        <w:rPr>
          <w:rFonts w:ascii="仿宋" w:eastAsia="仿宋" w:hAnsi="仿宋" w:hint="eastAsia"/>
          <w:sz w:val="32"/>
          <w:szCs w:val="32"/>
        </w:rPr>
        <w:t>环保管控</w:t>
      </w:r>
      <w:r w:rsidR="000574FA" w:rsidRPr="00F944A3">
        <w:rPr>
          <w:rFonts w:ascii="仿宋" w:eastAsia="仿宋" w:hAnsi="仿宋" w:hint="eastAsia"/>
          <w:sz w:val="32"/>
          <w:szCs w:val="32"/>
        </w:rPr>
        <w:t>应急预案</w:t>
      </w:r>
      <w:r w:rsidR="00EA0A17" w:rsidRPr="00F944A3">
        <w:rPr>
          <w:rFonts w:ascii="仿宋" w:eastAsia="仿宋" w:hAnsi="仿宋" w:hint="eastAsia"/>
          <w:sz w:val="32"/>
          <w:szCs w:val="32"/>
        </w:rPr>
        <w:t>，要求水泥熟料生产线停窑限产，同时除部分市政工程及赶工期的项目外，大部分工程均要求停工停产，多数搅拌站也</w:t>
      </w:r>
      <w:r w:rsidR="00015DD0" w:rsidRPr="00F944A3">
        <w:rPr>
          <w:rFonts w:ascii="仿宋" w:eastAsia="仿宋" w:hAnsi="仿宋" w:hint="eastAsia"/>
          <w:sz w:val="32"/>
          <w:szCs w:val="32"/>
        </w:rPr>
        <w:t>处于</w:t>
      </w:r>
      <w:r w:rsidR="00EA0A17" w:rsidRPr="00F944A3">
        <w:rPr>
          <w:rFonts w:ascii="仿宋" w:eastAsia="仿宋" w:hAnsi="仿宋" w:hint="eastAsia"/>
          <w:sz w:val="32"/>
          <w:szCs w:val="32"/>
        </w:rPr>
        <w:t>停产</w:t>
      </w:r>
      <w:r w:rsidR="00015DD0" w:rsidRPr="00F944A3">
        <w:rPr>
          <w:rFonts w:ascii="仿宋" w:eastAsia="仿宋" w:hAnsi="仿宋" w:hint="eastAsia"/>
          <w:sz w:val="32"/>
          <w:szCs w:val="32"/>
        </w:rPr>
        <w:t>状态，导致水泥整体需求不足，水泥销量也大幅下滑；加之春节前后水泥</w:t>
      </w:r>
      <w:r w:rsidR="00EA0A17" w:rsidRPr="00F944A3">
        <w:rPr>
          <w:rFonts w:ascii="仿宋" w:eastAsia="仿宋" w:hAnsi="仿宋" w:hint="eastAsia"/>
          <w:sz w:val="32"/>
          <w:szCs w:val="32"/>
        </w:rPr>
        <w:t>生产和销售</w:t>
      </w:r>
      <w:r w:rsidR="00015DD0" w:rsidRPr="00F944A3">
        <w:rPr>
          <w:rFonts w:ascii="仿宋" w:eastAsia="仿宋" w:hAnsi="仿宋" w:hint="eastAsia"/>
          <w:sz w:val="32"/>
          <w:szCs w:val="32"/>
        </w:rPr>
        <w:t>基本都已停滞，供需关系失衡，受此影响，全省的水泥价格也出现断崖式下跌，短短一个月时间降幅超过了100元/吨。</w:t>
      </w:r>
    </w:p>
    <w:p w:rsidR="00B03D2D" w:rsidRPr="00F944A3" w:rsidRDefault="00015DD0" w:rsidP="00C66E39">
      <w:pPr>
        <w:spacing w:line="276" w:lineRule="auto"/>
        <w:rPr>
          <w:rFonts w:ascii="仿宋" w:eastAsia="仿宋" w:hAnsi="仿宋" w:cs="宋体"/>
          <w:color w:val="000000"/>
          <w:kern w:val="0"/>
          <w:sz w:val="32"/>
          <w:szCs w:val="32"/>
        </w:rPr>
      </w:pPr>
      <w:r w:rsidRPr="00F944A3">
        <w:rPr>
          <w:rFonts w:ascii="仿宋" w:eastAsia="仿宋" w:hAnsi="仿宋" w:hint="eastAsia"/>
          <w:sz w:val="32"/>
          <w:szCs w:val="32"/>
        </w:rPr>
        <w:t xml:space="preserve"> </w:t>
      </w:r>
      <w:r w:rsidR="00B03D2D" w:rsidRPr="00F944A3">
        <w:rPr>
          <w:rFonts w:ascii="仿宋" w:eastAsia="仿宋" w:hAnsi="仿宋" w:hint="eastAsia"/>
          <w:sz w:val="32"/>
          <w:szCs w:val="32"/>
        </w:rPr>
        <w:t xml:space="preserve">   </w:t>
      </w:r>
      <w:r w:rsidR="00751E5F" w:rsidRPr="00F944A3">
        <w:rPr>
          <w:rFonts w:ascii="仿宋" w:eastAsia="仿宋" w:hAnsi="仿宋" w:hint="eastAsia"/>
          <w:sz w:val="32"/>
          <w:szCs w:val="32"/>
        </w:rPr>
        <w:t>2019年我省水泥工业运行状况将和市场供需情况密切相联，取决于错峰生产活动能否正常开展、去产能工作能否有效开展、兼并重组工作能否深入开展等因素。</w:t>
      </w:r>
      <w:r w:rsidR="00B03D2D" w:rsidRPr="00F944A3">
        <w:rPr>
          <w:rFonts w:ascii="仿宋" w:eastAsia="仿宋" w:hAnsi="仿宋" w:hint="eastAsia"/>
          <w:sz w:val="32"/>
          <w:szCs w:val="32"/>
        </w:rPr>
        <w:t>2月27日，省污染防治攻坚领导小组办公室印发《河南省2019年大气污染防治攻坚战实施方案》，</w:t>
      </w:r>
      <w:r w:rsidR="00B03D2D" w:rsidRPr="00F944A3">
        <w:rPr>
          <w:rFonts w:ascii="仿宋" w:eastAsia="仿宋" w:hAnsi="仿宋" w:cs="宋体" w:hint="eastAsia"/>
          <w:color w:val="000000"/>
          <w:kern w:val="0"/>
          <w:sz w:val="32"/>
          <w:szCs w:val="32"/>
        </w:rPr>
        <w:t>《方案》对全省2019年水泥生产错峰进行了详细安排。具体要求如下，全省水泥生产企业3月份停窑，4-5月正常生产，6月停窑，7-10月正常生产，11、12月停窑。2020年1-2月正产生产。协同处置危废、生活垃圾等生产线也应根据实际处置负荷制定限产时间。此外，重污染天气期间，所有企业依法参加应急管控。这一规定与其他区域的停产计划错开，大幅度降低水泥企业</w:t>
      </w:r>
      <w:r w:rsidR="00B03D2D" w:rsidRPr="00F944A3">
        <w:rPr>
          <w:rFonts w:ascii="仿宋" w:eastAsia="仿宋" w:hAnsi="仿宋" w:cs="宋体" w:hint="eastAsia"/>
          <w:color w:val="000000"/>
          <w:kern w:val="0"/>
          <w:sz w:val="32"/>
          <w:szCs w:val="32"/>
        </w:rPr>
        <w:lastRenderedPageBreak/>
        <w:t xml:space="preserve">产能发挥率，有效化解水泥行业产能过剩，是供需矛盾得到缓解。 </w:t>
      </w:r>
    </w:p>
    <w:p w:rsidR="00B03D2D" w:rsidRPr="00F944A3" w:rsidRDefault="00B03D2D" w:rsidP="00F944A3">
      <w:pPr>
        <w:spacing w:line="276" w:lineRule="auto"/>
        <w:ind w:firstLineChars="150" w:firstLine="480"/>
        <w:rPr>
          <w:rFonts w:ascii="仿宋" w:eastAsia="仿宋" w:hAnsi="仿宋"/>
          <w:sz w:val="32"/>
          <w:szCs w:val="32"/>
        </w:rPr>
      </w:pPr>
      <w:r w:rsidRPr="00F944A3">
        <w:rPr>
          <w:rFonts w:ascii="仿宋" w:eastAsia="仿宋" w:hAnsi="仿宋" w:hint="eastAsia"/>
          <w:sz w:val="32"/>
          <w:szCs w:val="32"/>
        </w:rPr>
        <w:t>《方案》要求2019年年底前，全省符合条件的通用水泥熟料企业完成提标治理，水泥窑废气在基准氧含量10%的条件下，颗粒物、二氧化硫、氮氧化物、氨逃逸不得高于10、35、100、8毫克/立方米。这是自超低排放在水泥行业推出后，首次将氨逃逸问题列入监测要求，通过对“氨逃逸”的监测分析，降低氨污染问题。</w:t>
      </w:r>
    </w:p>
    <w:p w:rsidR="006F572C" w:rsidRPr="00F944A3" w:rsidRDefault="00B03D2D" w:rsidP="00C66E39">
      <w:pPr>
        <w:spacing w:line="276" w:lineRule="auto"/>
        <w:rPr>
          <w:rFonts w:ascii="仿宋" w:eastAsia="仿宋" w:hAnsi="仿宋"/>
          <w:sz w:val="32"/>
          <w:szCs w:val="32"/>
        </w:rPr>
      </w:pPr>
      <w:r w:rsidRPr="00F944A3">
        <w:rPr>
          <w:rFonts w:ascii="仿宋" w:eastAsia="仿宋" w:hAnsi="仿宋" w:hint="eastAsia"/>
          <w:sz w:val="32"/>
          <w:szCs w:val="32"/>
        </w:rPr>
        <w:t xml:space="preserve">　　此外，《方案》还提出全省将积极推进2000t/d及以下通用水泥熟料生产线和直径3米及以下水泥粉磨装备退出，鼓励各市提前关停相关企业设备。《方案》支持水泥骨干企业搭建产能整合平台，主动压减竞争乏力的产能。</w:t>
      </w:r>
    </w:p>
    <w:p w:rsidR="006F572C" w:rsidRPr="00F944A3" w:rsidRDefault="00BD155E" w:rsidP="00F944A3">
      <w:pPr>
        <w:spacing w:line="276" w:lineRule="auto"/>
        <w:ind w:firstLineChars="150" w:firstLine="480"/>
        <w:rPr>
          <w:rFonts w:ascii="仿宋" w:eastAsia="仿宋" w:hAnsi="仿宋"/>
          <w:sz w:val="32"/>
          <w:szCs w:val="32"/>
        </w:rPr>
      </w:pPr>
      <w:r w:rsidRPr="00F944A3">
        <w:rPr>
          <w:rFonts w:ascii="仿宋" w:eastAsia="仿宋" w:hAnsi="仿宋" w:hint="eastAsia"/>
          <w:sz w:val="32"/>
          <w:szCs w:val="32"/>
        </w:rPr>
        <w:t>2019年全省高速将继续按照“企业主体、市场运作、多元投资、规范经营”的原则，在投资建设模式的创新上下功夫，实施高速公路“双千工程”，计划开工14个高速公路项目，总里程1002公里、总投资1086亿元。这对水泥行业是个利好消息。预计2019年我省水泥工业</w:t>
      </w:r>
      <w:r w:rsidRPr="00F944A3">
        <w:rPr>
          <w:rFonts w:ascii="仿宋" w:eastAsia="仿宋" w:hAnsi="仿宋" w:hint="eastAsia"/>
          <w:sz w:val="32"/>
          <w:szCs w:val="32"/>
          <w:shd w:val="clear" w:color="auto" w:fill="FFFFFF"/>
        </w:rPr>
        <w:t>总体将保持平稳的运行态势。</w:t>
      </w:r>
    </w:p>
    <w:p w:rsidR="006F572C" w:rsidRPr="00F944A3" w:rsidRDefault="00BD155E" w:rsidP="00F944A3">
      <w:pPr>
        <w:pStyle w:val="p0"/>
        <w:spacing w:afterLines="30" w:line="276" w:lineRule="auto"/>
        <w:ind w:firstLineChars="200" w:firstLine="643"/>
        <w:outlineLvl w:val="0"/>
        <w:rPr>
          <w:rFonts w:ascii="仿宋" w:eastAsia="仿宋" w:hAnsi="仿宋"/>
          <w:b/>
          <w:sz w:val="32"/>
          <w:szCs w:val="32"/>
        </w:rPr>
      </w:pPr>
      <w:r w:rsidRPr="00F944A3">
        <w:rPr>
          <w:rFonts w:ascii="仿宋" w:eastAsia="仿宋" w:hAnsi="仿宋" w:hint="eastAsia"/>
          <w:b/>
          <w:sz w:val="32"/>
          <w:szCs w:val="32"/>
        </w:rPr>
        <w:t>二、全省混凝土与水泥制品工业运行情况</w:t>
      </w:r>
    </w:p>
    <w:p w:rsidR="006F572C" w:rsidRPr="00F944A3" w:rsidRDefault="00BD155E" w:rsidP="00F944A3">
      <w:pPr>
        <w:widowControl/>
        <w:spacing w:line="276" w:lineRule="auto"/>
        <w:ind w:firstLineChars="200" w:firstLine="640"/>
        <w:rPr>
          <w:rFonts w:ascii="仿宋" w:eastAsia="仿宋" w:hAnsi="仿宋"/>
          <w:kern w:val="0"/>
          <w:sz w:val="32"/>
          <w:szCs w:val="32"/>
        </w:rPr>
      </w:pPr>
      <w:r w:rsidRPr="00F944A3">
        <w:rPr>
          <w:rFonts w:ascii="仿宋" w:eastAsia="仿宋" w:hAnsi="仿宋" w:hint="eastAsia"/>
          <w:kern w:val="0"/>
          <w:sz w:val="32"/>
          <w:szCs w:val="32"/>
        </w:rPr>
        <w:t>201</w:t>
      </w:r>
      <w:r w:rsidR="00B47A1F" w:rsidRPr="00F944A3">
        <w:rPr>
          <w:rFonts w:ascii="仿宋" w:eastAsia="仿宋" w:hAnsi="仿宋" w:hint="eastAsia"/>
          <w:kern w:val="0"/>
          <w:sz w:val="32"/>
          <w:szCs w:val="32"/>
        </w:rPr>
        <w:t>9</w:t>
      </w:r>
      <w:r w:rsidRPr="00F944A3">
        <w:rPr>
          <w:rFonts w:ascii="仿宋" w:eastAsia="仿宋" w:hAnsi="仿宋" w:hint="eastAsia"/>
          <w:kern w:val="0"/>
          <w:sz w:val="32"/>
          <w:szCs w:val="32"/>
        </w:rPr>
        <w:t>年</w:t>
      </w:r>
      <w:r w:rsidR="00B47A1F" w:rsidRPr="00F944A3">
        <w:rPr>
          <w:rFonts w:ascii="仿宋" w:eastAsia="仿宋" w:hAnsi="仿宋" w:hint="eastAsia"/>
          <w:kern w:val="0"/>
          <w:sz w:val="32"/>
          <w:szCs w:val="32"/>
        </w:rPr>
        <w:t>1-</w:t>
      </w:r>
      <w:r w:rsidR="00DE2320" w:rsidRPr="00F944A3">
        <w:rPr>
          <w:rFonts w:ascii="仿宋" w:eastAsia="仿宋" w:hAnsi="仿宋" w:hint="eastAsia"/>
          <w:kern w:val="0"/>
          <w:sz w:val="32"/>
          <w:szCs w:val="32"/>
        </w:rPr>
        <w:t>2</w:t>
      </w:r>
      <w:r w:rsidRPr="00F944A3">
        <w:rPr>
          <w:rFonts w:ascii="仿宋" w:eastAsia="仿宋" w:hAnsi="仿宋" w:hint="eastAsia"/>
          <w:kern w:val="0"/>
          <w:sz w:val="32"/>
          <w:szCs w:val="32"/>
        </w:rPr>
        <w:t>月全省累计生产商品混凝土</w:t>
      </w:r>
      <w:r w:rsidR="00B47A1F" w:rsidRPr="00F944A3">
        <w:rPr>
          <w:rFonts w:ascii="仿宋" w:eastAsia="仿宋" w:hAnsi="仿宋" w:hint="eastAsia"/>
          <w:kern w:val="0"/>
          <w:sz w:val="32"/>
          <w:szCs w:val="32"/>
        </w:rPr>
        <w:t>1165</w:t>
      </w:r>
      <w:r w:rsidRPr="00F944A3">
        <w:rPr>
          <w:rFonts w:ascii="仿宋" w:eastAsia="仿宋" w:hAnsi="仿宋" w:hint="eastAsia"/>
          <w:kern w:val="0"/>
          <w:sz w:val="32"/>
          <w:szCs w:val="32"/>
        </w:rPr>
        <w:t>万立方米，同比增</w:t>
      </w:r>
      <w:r w:rsidR="00DE2320" w:rsidRPr="00F944A3">
        <w:rPr>
          <w:rFonts w:ascii="仿宋" w:eastAsia="仿宋" w:hAnsi="仿宋" w:hint="eastAsia"/>
          <w:kern w:val="0"/>
          <w:sz w:val="32"/>
          <w:szCs w:val="32"/>
        </w:rPr>
        <w:t>长</w:t>
      </w:r>
      <w:r w:rsidR="00B47A1F" w:rsidRPr="00F944A3">
        <w:rPr>
          <w:rFonts w:ascii="仿宋" w:eastAsia="仿宋" w:hAnsi="仿宋" w:hint="eastAsia"/>
          <w:kern w:val="0"/>
          <w:sz w:val="32"/>
          <w:szCs w:val="32"/>
        </w:rPr>
        <w:t>5.53</w:t>
      </w:r>
      <w:r w:rsidRPr="00F944A3">
        <w:rPr>
          <w:rFonts w:ascii="仿宋" w:eastAsia="仿宋" w:hAnsi="仿宋" w:hint="eastAsia"/>
          <w:kern w:val="0"/>
          <w:sz w:val="32"/>
          <w:szCs w:val="32"/>
        </w:rPr>
        <w:t>%；排水管产量</w:t>
      </w:r>
      <w:r w:rsidR="00B47A1F" w:rsidRPr="00F944A3">
        <w:rPr>
          <w:rFonts w:ascii="仿宋" w:eastAsia="仿宋" w:hAnsi="仿宋" w:hint="eastAsia"/>
          <w:kern w:val="0"/>
          <w:sz w:val="32"/>
          <w:szCs w:val="32"/>
        </w:rPr>
        <w:t>1968.12</w:t>
      </w:r>
      <w:r w:rsidRPr="00F944A3">
        <w:rPr>
          <w:rFonts w:ascii="仿宋" w:eastAsia="仿宋" w:hAnsi="仿宋" w:hint="eastAsia"/>
          <w:kern w:val="0"/>
          <w:sz w:val="32"/>
          <w:szCs w:val="32"/>
        </w:rPr>
        <w:t>千米，同比</w:t>
      </w:r>
      <w:r w:rsidR="00B47A1F" w:rsidRPr="00F944A3">
        <w:rPr>
          <w:rFonts w:ascii="仿宋" w:eastAsia="仿宋" w:hAnsi="仿宋" w:hint="eastAsia"/>
          <w:kern w:val="0"/>
          <w:sz w:val="32"/>
          <w:szCs w:val="32"/>
        </w:rPr>
        <w:t>增长76.55</w:t>
      </w:r>
      <w:r w:rsidRPr="00F944A3">
        <w:rPr>
          <w:rFonts w:ascii="仿宋" w:eastAsia="仿宋" w:hAnsi="仿宋" w:hint="eastAsia"/>
          <w:kern w:val="0"/>
          <w:sz w:val="32"/>
          <w:szCs w:val="32"/>
        </w:rPr>
        <w:t>%；水泥电杆产量</w:t>
      </w:r>
      <w:r w:rsidR="00B47A1F" w:rsidRPr="00F944A3">
        <w:rPr>
          <w:rFonts w:ascii="仿宋" w:eastAsia="仿宋" w:hAnsi="仿宋" w:hint="eastAsia"/>
          <w:kern w:val="0"/>
          <w:sz w:val="32"/>
          <w:szCs w:val="32"/>
        </w:rPr>
        <w:t>9.06</w:t>
      </w:r>
      <w:r w:rsidRPr="00F944A3">
        <w:rPr>
          <w:rFonts w:ascii="仿宋" w:eastAsia="仿宋" w:hAnsi="仿宋" w:hint="eastAsia"/>
          <w:kern w:val="0"/>
          <w:sz w:val="32"/>
          <w:szCs w:val="32"/>
        </w:rPr>
        <w:t>万根，同比下降</w:t>
      </w:r>
      <w:r w:rsidR="00B47A1F" w:rsidRPr="00F944A3">
        <w:rPr>
          <w:rFonts w:ascii="仿宋" w:eastAsia="仿宋" w:hAnsi="仿宋" w:hint="eastAsia"/>
          <w:kern w:val="0"/>
          <w:sz w:val="32"/>
          <w:szCs w:val="32"/>
        </w:rPr>
        <w:t>12.85</w:t>
      </w:r>
      <w:r w:rsidRPr="00F944A3">
        <w:rPr>
          <w:rFonts w:ascii="仿宋" w:eastAsia="仿宋" w:hAnsi="仿宋" w:hint="eastAsia"/>
          <w:kern w:val="0"/>
          <w:sz w:val="32"/>
          <w:szCs w:val="32"/>
        </w:rPr>
        <w:t>%；水泥</w:t>
      </w:r>
      <w:r w:rsidRPr="00F944A3">
        <w:rPr>
          <w:rFonts w:ascii="仿宋" w:eastAsia="仿宋" w:hAnsi="仿宋" w:hint="eastAsia"/>
          <w:kern w:val="0"/>
          <w:sz w:val="32"/>
          <w:szCs w:val="32"/>
        </w:rPr>
        <w:lastRenderedPageBreak/>
        <w:t>混凝土桩产量</w:t>
      </w:r>
      <w:r w:rsidR="00B47A1F" w:rsidRPr="00F944A3">
        <w:rPr>
          <w:rFonts w:ascii="仿宋" w:eastAsia="仿宋" w:hAnsi="仿宋" w:hint="eastAsia"/>
          <w:kern w:val="0"/>
          <w:sz w:val="32"/>
          <w:szCs w:val="32"/>
        </w:rPr>
        <w:t>85.2</w:t>
      </w:r>
      <w:r w:rsidRPr="00F944A3">
        <w:rPr>
          <w:rFonts w:ascii="仿宋" w:eastAsia="仿宋" w:hAnsi="仿宋" w:hint="eastAsia"/>
          <w:kern w:val="0"/>
          <w:sz w:val="32"/>
          <w:szCs w:val="32"/>
        </w:rPr>
        <w:t>万米，同比</w:t>
      </w:r>
      <w:r w:rsidR="00B47A1F" w:rsidRPr="00F944A3">
        <w:rPr>
          <w:rFonts w:ascii="仿宋" w:eastAsia="仿宋" w:hAnsi="仿宋" w:hint="eastAsia"/>
          <w:kern w:val="0"/>
          <w:sz w:val="32"/>
          <w:szCs w:val="32"/>
        </w:rPr>
        <w:t>下降2.25</w:t>
      </w:r>
      <w:r w:rsidR="00DE2320" w:rsidRPr="00F944A3">
        <w:rPr>
          <w:rFonts w:ascii="仿宋" w:eastAsia="仿宋" w:hAnsi="仿宋" w:hint="eastAsia"/>
          <w:kern w:val="0"/>
          <w:sz w:val="32"/>
          <w:szCs w:val="32"/>
        </w:rPr>
        <w:t>%</w:t>
      </w:r>
      <w:r w:rsidRPr="00F944A3">
        <w:rPr>
          <w:rFonts w:ascii="仿宋" w:eastAsia="仿宋" w:hAnsi="仿宋" w:hint="eastAsia"/>
          <w:kern w:val="0"/>
          <w:sz w:val="32"/>
          <w:szCs w:val="32"/>
        </w:rPr>
        <w:t>；分别占全国比重为</w:t>
      </w:r>
      <w:r w:rsidR="00B47A1F" w:rsidRPr="00F944A3">
        <w:rPr>
          <w:rFonts w:ascii="仿宋" w:eastAsia="仿宋" w:hAnsi="仿宋" w:hint="eastAsia"/>
          <w:kern w:val="0"/>
          <w:sz w:val="32"/>
          <w:szCs w:val="32"/>
        </w:rPr>
        <w:t>4.33</w:t>
      </w:r>
      <w:r w:rsidRPr="00F944A3">
        <w:rPr>
          <w:rFonts w:ascii="仿宋" w:eastAsia="仿宋" w:hAnsi="仿宋" w:hint="eastAsia"/>
          <w:kern w:val="0"/>
          <w:sz w:val="32"/>
          <w:szCs w:val="32"/>
        </w:rPr>
        <w:t>%、</w:t>
      </w:r>
      <w:r w:rsidR="00B47A1F" w:rsidRPr="00F944A3">
        <w:rPr>
          <w:rFonts w:ascii="仿宋" w:eastAsia="仿宋" w:hAnsi="仿宋" w:hint="eastAsia"/>
          <w:kern w:val="0"/>
          <w:sz w:val="32"/>
          <w:szCs w:val="32"/>
        </w:rPr>
        <w:t>11.3</w:t>
      </w:r>
      <w:r w:rsidRPr="00F944A3">
        <w:rPr>
          <w:rFonts w:ascii="仿宋" w:eastAsia="仿宋" w:hAnsi="仿宋" w:hint="eastAsia"/>
          <w:kern w:val="0"/>
          <w:sz w:val="32"/>
          <w:szCs w:val="32"/>
        </w:rPr>
        <w:t>%、</w:t>
      </w:r>
      <w:r w:rsidR="00B47A1F" w:rsidRPr="00F944A3">
        <w:rPr>
          <w:rFonts w:ascii="仿宋" w:eastAsia="仿宋" w:hAnsi="仿宋" w:hint="eastAsia"/>
          <w:kern w:val="0"/>
          <w:sz w:val="32"/>
          <w:szCs w:val="32"/>
        </w:rPr>
        <w:t>4.86</w:t>
      </w:r>
      <w:r w:rsidRPr="00F944A3">
        <w:rPr>
          <w:rFonts w:ascii="仿宋" w:eastAsia="仿宋" w:hAnsi="仿宋" w:hint="eastAsia"/>
          <w:kern w:val="0"/>
          <w:sz w:val="32"/>
          <w:szCs w:val="32"/>
        </w:rPr>
        <w:t>%和2.</w:t>
      </w:r>
      <w:r w:rsidR="00B47A1F" w:rsidRPr="00F944A3">
        <w:rPr>
          <w:rFonts w:ascii="仿宋" w:eastAsia="仿宋" w:hAnsi="仿宋" w:hint="eastAsia"/>
          <w:kern w:val="0"/>
          <w:sz w:val="32"/>
          <w:szCs w:val="32"/>
        </w:rPr>
        <w:t>33</w:t>
      </w:r>
      <w:r w:rsidRPr="00F944A3">
        <w:rPr>
          <w:rFonts w:ascii="仿宋" w:eastAsia="仿宋" w:hAnsi="仿宋" w:hint="eastAsia"/>
          <w:kern w:val="0"/>
          <w:sz w:val="32"/>
          <w:szCs w:val="32"/>
        </w:rPr>
        <w:t>%。</w:t>
      </w:r>
    </w:p>
    <w:p w:rsidR="006F572C" w:rsidRPr="00F944A3" w:rsidRDefault="004D7D93" w:rsidP="00F944A3">
      <w:pPr>
        <w:pStyle w:val="p0"/>
        <w:spacing w:afterLines="30" w:line="276" w:lineRule="auto"/>
        <w:ind w:firstLineChars="200" w:firstLine="640"/>
        <w:outlineLvl w:val="0"/>
        <w:rPr>
          <w:rFonts w:ascii="仿宋" w:eastAsia="仿宋" w:hAnsi="仿宋"/>
          <w:sz w:val="32"/>
          <w:szCs w:val="32"/>
        </w:rPr>
      </w:pPr>
      <w:r w:rsidRPr="00F944A3">
        <w:rPr>
          <w:rFonts w:ascii="仿宋" w:eastAsia="仿宋" w:hAnsi="仿宋" w:hint="eastAsia"/>
          <w:color w:val="000000"/>
          <w:sz w:val="32"/>
          <w:szCs w:val="32"/>
        </w:rPr>
        <w:t>进入2019年，中国经济再度面临“下行压力”的挑战。为了应对这一挑战，中央经济工作会议强调“加大基础设施等领域补短板力度”，既是2019年七大重点工作任务之一，也是“宏观政策要强化逆周期调节”的主要抓手，还是“较大幅度增加地方政府专项债券规模”后新增地方债务资金的主要投向。</w:t>
      </w:r>
      <w:r w:rsidR="00885C9E" w:rsidRPr="00F944A3">
        <w:rPr>
          <w:rFonts w:ascii="仿宋" w:eastAsia="仿宋" w:hAnsi="仿宋" w:hint="eastAsia"/>
          <w:color w:val="000000"/>
          <w:sz w:val="32"/>
          <w:szCs w:val="32"/>
        </w:rPr>
        <w:t xml:space="preserve"> </w:t>
      </w:r>
      <w:r w:rsidR="00885C9E" w:rsidRPr="00F944A3">
        <w:rPr>
          <w:rFonts w:ascii="仿宋" w:eastAsia="仿宋" w:hAnsi="仿宋" w:cs="Calibri" w:hint="eastAsia"/>
          <w:color w:val="000000"/>
          <w:sz w:val="32"/>
          <w:szCs w:val="32"/>
        </w:rPr>
        <w:t>随着国家层面补短板稳投资政策不断向纵深推进，各地区也结合本地实际，积极出台相应政策，推动重大投资项目落地实施，不仅加大力度，还要提快进度。如河南</w:t>
      </w:r>
      <w:r w:rsidR="00AE0860" w:rsidRPr="00F944A3">
        <w:rPr>
          <w:rFonts w:ascii="仿宋" w:eastAsia="仿宋" w:hAnsi="仿宋" w:cs="Calibri" w:hint="eastAsia"/>
          <w:color w:val="000000"/>
          <w:sz w:val="32"/>
          <w:szCs w:val="32"/>
        </w:rPr>
        <w:t>省交通基础设施建设计划完成投资566亿元，同比增长20%，全力推动交通运输高质量发展，为全省经济社会发展提供有力支撑。其中重点实施三大工程，让路“网起来、连起来、串起来”，让国省道断头路“通起来”</w:t>
      </w:r>
      <w:r w:rsidR="00885C9E" w:rsidRPr="00F944A3">
        <w:rPr>
          <w:rFonts w:ascii="仿宋" w:eastAsia="仿宋" w:hAnsi="仿宋" w:cs="Calibri" w:hint="eastAsia"/>
          <w:color w:val="000000"/>
          <w:sz w:val="32"/>
          <w:szCs w:val="32"/>
        </w:rPr>
        <w:t>：</w:t>
      </w:r>
      <w:r w:rsidR="00AE0860" w:rsidRPr="00F944A3">
        <w:rPr>
          <w:rFonts w:ascii="仿宋" w:eastAsia="仿宋" w:hAnsi="仿宋" w:cs="Calibri" w:hint="eastAsia"/>
          <w:color w:val="000000"/>
          <w:sz w:val="32"/>
          <w:szCs w:val="32"/>
        </w:rPr>
        <w:t>一是全面实施高速公路“双千工程”。投资1144亿元、新开工建设1059公里高速公路，“双千工程”涉及的15个项目9月底前全部实质性开工建设，完成年度投资170亿元</w:t>
      </w:r>
      <w:r w:rsidR="00885C9E" w:rsidRPr="00F944A3">
        <w:rPr>
          <w:rFonts w:ascii="仿宋" w:eastAsia="仿宋" w:hAnsi="仿宋" w:cs="Calibri" w:hint="eastAsia"/>
          <w:color w:val="000000"/>
          <w:sz w:val="32"/>
          <w:szCs w:val="32"/>
        </w:rPr>
        <w:t>；二是启动实施农村公路“百县通村入组工程”；</w:t>
      </w:r>
      <w:r w:rsidR="00AE0860" w:rsidRPr="00F944A3">
        <w:rPr>
          <w:rFonts w:ascii="仿宋" w:eastAsia="仿宋" w:hAnsi="仿宋" w:cs="Calibri" w:hint="eastAsia"/>
          <w:color w:val="000000"/>
          <w:sz w:val="32"/>
          <w:szCs w:val="32"/>
        </w:rPr>
        <w:t>三是扎实开展“万村通客车提质工程”。</w:t>
      </w:r>
      <w:r w:rsidR="00885C9E" w:rsidRPr="00F944A3">
        <w:rPr>
          <w:rFonts w:ascii="仿宋" w:eastAsia="仿宋" w:hAnsi="仿宋" w:cs="Calibri" w:hint="eastAsia"/>
          <w:color w:val="000000"/>
          <w:sz w:val="32"/>
          <w:szCs w:val="32"/>
        </w:rPr>
        <w:t xml:space="preserve"> 同时，全省在交通基础设施建设上，加快高速公路续建项目建设；</w:t>
      </w:r>
      <w:r w:rsidR="00AE0860" w:rsidRPr="00F944A3">
        <w:rPr>
          <w:rFonts w:ascii="仿宋" w:eastAsia="仿宋" w:hAnsi="仿宋" w:cs="Calibri" w:hint="eastAsia"/>
          <w:color w:val="000000"/>
          <w:sz w:val="32"/>
          <w:szCs w:val="32"/>
        </w:rPr>
        <w:t>重点实施普通</w:t>
      </w:r>
      <w:r w:rsidR="00885C9E" w:rsidRPr="00F944A3">
        <w:rPr>
          <w:rFonts w:ascii="仿宋" w:eastAsia="仿宋" w:hAnsi="仿宋" w:cs="Calibri" w:hint="eastAsia"/>
          <w:color w:val="000000"/>
          <w:sz w:val="32"/>
          <w:szCs w:val="32"/>
        </w:rPr>
        <w:t>干线公路省际路段、连接城市组团关键路段和贫困地区低等级路段改造；推进国省道</w:t>
      </w:r>
      <w:r w:rsidR="00885C9E" w:rsidRPr="00F944A3">
        <w:rPr>
          <w:rFonts w:ascii="仿宋" w:eastAsia="仿宋" w:hAnsi="仿宋" w:cs="Calibri" w:hint="eastAsia"/>
          <w:color w:val="000000"/>
          <w:sz w:val="32"/>
          <w:szCs w:val="32"/>
        </w:rPr>
        <w:lastRenderedPageBreak/>
        <w:t>跨黄河特大桥建设等多项投资项目，</w:t>
      </w:r>
      <w:r w:rsidR="00B52D7A" w:rsidRPr="00F944A3">
        <w:rPr>
          <w:rFonts w:ascii="仿宋" w:eastAsia="仿宋" w:hAnsi="仿宋" w:cs="Calibri" w:hint="eastAsia"/>
          <w:color w:val="000000"/>
          <w:sz w:val="32"/>
          <w:szCs w:val="32"/>
        </w:rPr>
        <w:t>给我省的</w:t>
      </w:r>
      <w:r w:rsidR="00B52D7A" w:rsidRPr="00F944A3">
        <w:rPr>
          <w:rFonts w:ascii="仿宋" w:eastAsia="仿宋" w:hAnsi="仿宋" w:hint="eastAsia"/>
          <w:sz w:val="32"/>
          <w:szCs w:val="32"/>
        </w:rPr>
        <w:t>混凝土与水泥制品带来了发展新机遇。</w:t>
      </w:r>
    </w:p>
    <w:p w:rsidR="005363E9" w:rsidRPr="00F944A3" w:rsidRDefault="005363E9" w:rsidP="00F944A3">
      <w:pPr>
        <w:pStyle w:val="p0"/>
        <w:spacing w:afterLines="30" w:line="276" w:lineRule="auto"/>
        <w:ind w:firstLineChars="200" w:firstLine="643"/>
        <w:outlineLvl w:val="0"/>
        <w:rPr>
          <w:rFonts w:ascii="仿宋" w:eastAsia="仿宋" w:hAnsi="仿宋"/>
          <w:b/>
          <w:sz w:val="32"/>
          <w:szCs w:val="32"/>
        </w:rPr>
      </w:pPr>
      <w:r w:rsidRPr="00F944A3">
        <w:rPr>
          <w:rFonts w:ascii="仿宋" w:eastAsia="仿宋" w:hAnsi="仿宋" w:hint="eastAsia"/>
          <w:b/>
          <w:sz w:val="32"/>
          <w:szCs w:val="32"/>
        </w:rPr>
        <w:t>三、全省玻璃工业运行情况</w:t>
      </w:r>
    </w:p>
    <w:p w:rsidR="006F572C" w:rsidRPr="00F944A3" w:rsidRDefault="00BD155E" w:rsidP="00C66E39">
      <w:pPr>
        <w:spacing w:line="276" w:lineRule="auto"/>
        <w:ind w:firstLine="645"/>
        <w:rPr>
          <w:rFonts w:ascii="仿宋" w:eastAsia="仿宋" w:hAnsi="仿宋" w:cs="仿宋"/>
          <w:sz w:val="32"/>
          <w:szCs w:val="32"/>
        </w:rPr>
      </w:pPr>
      <w:r w:rsidRPr="00F944A3">
        <w:rPr>
          <w:rFonts w:ascii="仿宋" w:eastAsia="仿宋" w:hAnsi="仿宋" w:cs="仿宋" w:hint="eastAsia"/>
          <w:sz w:val="32"/>
          <w:szCs w:val="32"/>
        </w:rPr>
        <w:t>201</w:t>
      </w:r>
      <w:r w:rsidR="0089400F" w:rsidRPr="00F944A3">
        <w:rPr>
          <w:rFonts w:ascii="仿宋" w:eastAsia="仿宋" w:hAnsi="仿宋" w:cs="仿宋" w:hint="eastAsia"/>
          <w:sz w:val="32"/>
          <w:szCs w:val="32"/>
        </w:rPr>
        <w:t>9</w:t>
      </w:r>
      <w:r w:rsidRPr="00F944A3">
        <w:rPr>
          <w:rFonts w:ascii="仿宋" w:eastAsia="仿宋" w:hAnsi="仿宋" w:cs="仿宋" w:hint="eastAsia"/>
          <w:sz w:val="32"/>
          <w:szCs w:val="32"/>
        </w:rPr>
        <w:t>年</w:t>
      </w:r>
      <w:r w:rsidR="0089400F" w:rsidRPr="00F944A3">
        <w:rPr>
          <w:rFonts w:ascii="仿宋" w:eastAsia="仿宋" w:hAnsi="仿宋" w:cs="仿宋" w:hint="eastAsia"/>
          <w:sz w:val="32"/>
          <w:szCs w:val="32"/>
        </w:rPr>
        <w:t>1-</w:t>
      </w:r>
      <w:r w:rsidR="00C06465" w:rsidRPr="00F944A3">
        <w:rPr>
          <w:rFonts w:ascii="仿宋" w:eastAsia="仿宋" w:hAnsi="仿宋" w:cs="仿宋" w:hint="eastAsia"/>
          <w:sz w:val="32"/>
          <w:szCs w:val="32"/>
        </w:rPr>
        <w:t>2</w:t>
      </w:r>
      <w:r w:rsidRPr="00F944A3">
        <w:rPr>
          <w:rFonts w:ascii="仿宋" w:eastAsia="仿宋" w:hAnsi="仿宋" w:cs="仿宋" w:hint="eastAsia"/>
          <w:sz w:val="32"/>
          <w:szCs w:val="32"/>
        </w:rPr>
        <w:t>月，全省累计生产平板玻璃</w:t>
      </w:r>
      <w:r w:rsidR="0089400F" w:rsidRPr="00F944A3">
        <w:rPr>
          <w:rFonts w:ascii="仿宋" w:eastAsia="仿宋" w:hAnsi="仿宋" w:cs="仿宋" w:hint="eastAsia"/>
          <w:sz w:val="32"/>
          <w:szCs w:val="32"/>
        </w:rPr>
        <w:t>320.76</w:t>
      </w:r>
      <w:r w:rsidRPr="00F944A3">
        <w:rPr>
          <w:rFonts w:ascii="仿宋" w:eastAsia="仿宋" w:hAnsi="仿宋" w:cs="仿宋" w:hint="eastAsia"/>
          <w:sz w:val="32"/>
          <w:szCs w:val="32"/>
        </w:rPr>
        <w:t>万重量箱，同比下降</w:t>
      </w:r>
      <w:r w:rsidR="0089400F" w:rsidRPr="00F944A3">
        <w:rPr>
          <w:rFonts w:ascii="仿宋" w:eastAsia="仿宋" w:hAnsi="仿宋" w:cs="仿宋" w:hint="eastAsia"/>
          <w:sz w:val="32"/>
          <w:szCs w:val="32"/>
        </w:rPr>
        <w:t>0.18</w:t>
      </w:r>
      <w:r w:rsidRPr="00F944A3">
        <w:rPr>
          <w:rFonts w:ascii="仿宋" w:eastAsia="仿宋" w:hAnsi="仿宋" w:cs="仿宋" w:hint="eastAsia"/>
          <w:sz w:val="32"/>
          <w:szCs w:val="32"/>
        </w:rPr>
        <w:t>%；钢化玻璃累计产量</w:t>
      </w:r>
      <w:r w:rsidR="0089400F" w:rsidRPr="00F944A3">
        <w:rPr>
          <w:rFonts w:ascii="仿宋" w:eastAsia="仿宋" w:hAnsi="仿宋" w:cs="仿宋" w:hint="eastAsia"/>
          <w:sz w:val="32"/>
          <w:szCs w:val="32"/>
        </w:rPr>
        <w:t>1041.5</w:t>
      </w:r>
      <w:r w:rsidRPr="00F944A3">
        <w:rPr>
          <w:rFonts w:ascii="仿宋" w:eastAsia="仿宋" w:hAnsi="仿宋" w:cs="仿宋" w:hint="eastAsia"/>
          <w:sz w:val="32"/>
          <w:szCs w:val="32"/>
        </w:rPr>
        <w:t>万平方米，同比增长</w:t>
      </w:r>
      <w:r w:rsidR="0089400F" w:rsidRPr="00F944A3">
        <w:rPr>
          <w:rFonts w:ascii="仿宋" w:eastAsia="仿宋" w:hAnsi="仿宋" w:cs="仿宋" w:hint="eastAsia"/>
          <w:sz w:val="32"/>
          <w:szCs w:val="32"/>
        </w:rPr>
        <w:t>83.02</w:t>
      </w:r>
      <w:r w:rsidRPr="00F944A3">
        <w:rPr>
          <w:rFonts w:ascii="仿宋" w:eastAsia="仿宋" w:hAnsi="仿宋" w:cs="仿宋" w:hint="eastAsia"/>
          <w:sz w:val="32"/>
          <w:szCs w:val="32"/>
        </w:rPr>
        <w:t>%；夹层玻璃累计产量</w:t>
      </w:r>
      <w:r w:rsidR="0089400F" w:rsidRPr="00F944A3">
        <w:rPr>
          <w:rFonts w:ascii="仿宋" w:eastAsia="仿宋" w:hAnsi="仿宋" w:cs="仿宋" w:hint="eastAsia"/>
          <w:sz w:val="32"/>
          <w:szCs w:val="32"/>
        </w:rPr>
        <w:t>123.4</w:t>
      </w:r>
      <w:r w:rsidRPr="00F944A3">
        <w:rPr>
          <w:rFonts w:ascii="仿宋" w:eastAsia="仿宋" w:hAnsi="仿宋" w:cs="仿宋" w:hint="eastAsia"/>
          <w:sz w:val="32"/>
          <w:szCs w:val="32"/>
        </w:rPr>
        <w:t>万平方米，同比</w:t>
      </w:r>
      <w:r w:rsidR="0089400F" w:rsidRPr="00F944A3">
        <w:rPr>
          <w:rFonts w:ascii="仿宋" w:eastAsia="仿宋" w:hAnsi="仿宋" w:cs="仿宋" w:hint="eastAsia"/>
          <w:sz w:val="32"/>
          <w:szCs w:val="32"/>
        </w:rPr>
        <w:t>下降1.36</w:t>
      </w:r>
      <w:r w:rsidRPr="00F944A3">
        <w:rPr>
          <w:rFonts w:ascii="仿宋" w:eastAsia="仿宋" w:hAnsi="仿宋" w:cs="仿宋" w:hint="eastAsia"/>
          <w:sz w:val="32"/>
          <w:szCs w:val="32"/>
        </w:rPr>
        <w:t>%；中空玻璃累计产量</w:t>
      </w:r>
      <w:r w:rsidR="0089400F" w:rsidRPr="00F944A3">
        <w:rPr>
          <w:rFonts w:ascii="仿宋" w:eastAsia="仿宋" w:hAnsi="仿宋" w:cs="仿宋" w:hint="eastAsia"/>
          <w:sz w:val="32"/>
          <w:szCs w:val="32"/>
        </w:rPr>
        <w:t>16.22</w:t>
      </w:r>
      <w:r w:rsidRPr="00F944A3">
        <w:rPr>
          <w:rFonts w:ascii="仿宋" w:eastAsia="仿宋" w:hAnsi="仿宋" w:cs="仿宋" w:hint="eastAsia"/>
          <w:sz w:val="32"/>
          <w:szCs w:val="32"/>
        </w:rPr>
        <w:t>万平方米，同比下降</w:t>
      </w:r>
      <w:r w:rsidR="0089400F" w:rsidRPr="00F944A3">
        <w:rPr>
          <w:rFonts w:ascii="仿宋" w:eastAsia="仿宋" w:hAnsi="仿宋" w:cs="仿宋" w:hint="eastAsia"/>
          <w:sz w:val="32"/>
          <w:szCs w:val="32"/>
        </w:rPr>
        <w:t>14.77</w:t>
      </w:r>
      <w:r w:rsidRPr="00F944A3">
        <w:rPr>
          <w:rFonts w:ascii="仿宋" w:eastAsia="仿宋" w:hAnsi="仿宋" w:cs="仿宋" w:hint="eastAsia"/>
          <w:sz w:val="32"/>
          <w:szCs w:val="32"/>
        </w:rPr>
        <w:t>%；分别占全国总产量的2.</w:t>
      </w:r>
      <w:r w:rsidR="0089400F" w:rsidRPr="00F944A3">
        <w:rPr>
          <w:rFonts w:ascii="仿宋" w:eastAsia="仿宋" w:hAnsi="仿宋" w:cs="仿宋" w:hint="eastAsia"/>
          <w:sz w:val="32"/>
          <w:szCs w:val="32"/>
        </w:rPr>
        <w:t>26</w:t>
      </w:r>
      <w:r w:rsidRPr="00F944A3">
        <w:rPr>
          <w:rFonts w:ascii="仿宋" w:eastAsia="仿宋" w:hAnsi="仿宋" w:cs="仿宋" w:hint="eastAsia"/>
          <w:sz w:val="32"/>
          <w:szCs w:val="32"/>
        </w:rPr>
        <w:t>%，</w:t>
      </w:r>
      <w:r w:rsidR="0089400F" w:rsidRPr="00F944A3">
        <w:rPr>
          <w:rFonts w:ascii="仿宋" w:eastAsia="仿宋" w:hAnsi="仿宋" w:cs="仿宋" w:hint="eastAsia"/>
          <w:sz w:val="32"/>
          <w:szCs w:val="32"/>
        </w:rPr>
        <w:t>14.78</w:t>
      </w:r>
      <w:r w:rsidRPr="00F944A3">
        <w:rPr>
          <w:rFonts w:ascii="仿宋" w:eastAsia="仿宋" w:hAnsi="仿宋" w:cs="仿宋" w:hint="eastAsia"/>
          <w:sz w:val="32"/>
          <w:szCs w:val="32"/>
        </w:rPr>
        <w:t>%，</w:t>
      </w:r>
      <w:r w:rsidR="0089400F" w:rsidRPr="00F944A3">
        <w:rPr>
          <w:rFonts w:ascii="仿宋" w:eastAsia="仿宋" w:hAnsi="仿宋" w:cs="仿宋" w:hint="eastAsia"/>
          <w:sz w:val="32"/>
          <w:szCs w:val="32"/>
        </w:rPr>
        <w:t>9.77</w:t>
      </w:r>
      <w:r w:rsidRPr="00F944A3">
        <w:rPr>
          <w:rFonts w:ascii="仿宋" w:eastAsia="仿宋" w:hAnsi="仿宋" w:cs="仿宋" w:hint="eastAsia"/>
          <w:sz w:val="32"/>
          <w:szCs w:val="32"/>
        </w:rPr>
        <w:t>%和1.</w:t>
      </w:r>
      <w:r w:rsidR="0089400F" w:rsidRPr="00F944A3">
        <w:rPr>
          <w:rFonts w:ascii="仿宋" w:eastAsia="仿宋" w:hAnsi="仿宋" w:cs="仿宋" w:hint="eastAsia"/>
          <w:sz w:val="32"/>
          <w:szCs w:val="32"/>
        </w:rPr>
        <w:t>09</w:t>
      </w:r>
      <w:r w:rsidRPr="00F944A3">
        <w:rPr>
          <w:rFonts w:ascii="仿宋" w:eastAsia="仿宋" w:hAnsi="仿宋" w:cs="仿宋" w:hint="eastAsia"/>
          <w:sz w:val="32"/>
          <w:szCs w:val="32"/>
        </w:rPr>
        <w:t>%。</w:t>
      </w:r>
    </w:p>
    <w:p w:rsidR="006F572C" w:rsidRPr="00F944A3" w:rsidRDefault="0089400F" w:rsidP="00F944A3">
      <w:pPr>
        <w:spacing w:line="276" w:lineRule="auto"/>
        <w:ind w:firstLineChars="250" w:firstLine="800"/>
        <w:outlineLvl w:val="0"/>
        <w:rPr>
          <w:rFonts w:ascii="仿宋" w:eastAsia="仿宋" w:hAnsi="仿宋" w:cs="仿宋"/>
          <w:sz w:val="32"/>
          <w:szCs w:val="32"/>
        </w:rPr>
      </w:pPr>
      <w:r w:rsidRPr="00F944A3">
        <w:rPr>
          <w:rFonts w:ascii="仿宋" w:eastAsia="仿宋" w:hAnsi="仿宋" w:cs="仿宋" w:hint="eastAsia"/>
          <w:sz w:val="32"/>
          <w:szCs w:val="32"/>
        </w:rPr>
        <w:t>1-</w:t>
      </w:r>
      <w:r w:rsidR="00C06465" w:rsidRPr="00F944A3">
        <w:rPr>
          <w:rFonts w:ascii="仿宋" w:eastAsia="仿宋" w:hAnsi="仿宋" w:cs="仿宋" w:hint="eastAsia"/>
          <w:sz w:val="32"/>
          <w:szCs w:val="32"/>
        </w:rPr>
        <w:t>2</w:t>
      </w:r>
      <w:r w:rsidR="004847FE" w:rsidRPr="00F944A3">
        <w:rPr>
          <w:rFonts w:ascii="仿宋" w:eastAsia="仿宋" w:hAnsi="仿宋" w:cs="仿宋" w:hint="eastAsia"/>
          <w:sz w:val="32"/>
          <w:szCs w:val="32"/>
        </w:rPr>
        <w:t>月</w:t>
      </w:r>
      <w:r w:rsidR="00BD155E" w:rsidRPr="00F944A3">
        <w:rPr>
          <w:rFonts w:ascii="仿宋" w:eastAsia="仿宋" w:hAnsi="仿宋" w:cs="仿宋" w:hint="eastAsia"/>
          <w:sz w:val="32"/>
          <w:szCs w:val="32"/>
        </w:rPr>
        <w:t>洛玻集团累计生产浮法玻璃</w:t>
      </w:r>
      <w:r w:rsidRPr="00F944A3">
        <w:rPr>
          <w:rFonts w:ascii="仿宋" w:eastAsia="仿宋" w:hAnsi="仿宋" w:cs="仿宋" w:hint="eastAsia"/>
          <w:sz w:val="32"/>
          <w:szCs w:val="32"/>
        </w:rPr>
        <w:t>147.06</w:t>
      </w:r>
      <w:r w:rsidR="00BD155E" w:rsidRPr="00F944A3">
        <w:rPr>
          <w:rFonts w:ascii="仿宋" w:eastAsia="仿宋" w:hAnsi="仿宋" w:cs="仿宋" w:hint="eastAsia"/>
          <w:sz w:val="32"/>
          <w:szCs w:val="32"/>
        </w:rPr>
        <w:t>万重量箱，同比</w:t>
      </w:r>
      <w:r w:rsidRPr="00F944A3">
        <w:rPr>
          <w:rFonts w:ascii="仿宋" w:eastAsia="仿宋" w:hAnsi="仿宋" w:cs="仿宋" w:hint="eastAsia"/>
          <w:sz w:val="32"/>
          <w:szCs w:val="32"/>
        </w:rPr>
        <w:t>下降0.6</w:t>
      </w:r>
      <w:r w:rsidR="00BD155E" w:rsidRPr="00F944A3">
        <w:rPr>
          <w:rFonts w:ascii="仿宋" w:eastAsia="仿宋" w:hAnsi="仿宋" w:cs="仿宋" w:hint="eastAsia"/>
          <w:sz w:val="32"/>
          <w:szCs w:val="32"/>
        </w:rPr>
        <w:t>%，</w:t>
      </w:r>
      <w:r w:rsidR="004847FE" w:rsidRPr="00F944A3">
        <w:rPr>
          <w:rFonts w:ascii="仿宋" w:eastAsia="仿宋" w:hAnsi="仿宋" w:cs="仿宋" w:hint="eastAsia"/>
          <w:sz w:val="32"/>
          <w:szCs w:val="32"/>
        </w:rPr>
        <w:t>累计产值</w:t>
      </w:r>
      <w:r w:rsidR="00BD155E" w:rsidRPr="00F944A3">
        <w:rPr>
          <w:rFonts w:ascii="仿宋" w:eastAsia="仿宋" w:hAnsi="仿宋" w:cs="仿宋" w:hint="eastAsia"/>
          <w:sz w:val="32"/>
          <w:szCs w:val="32"/>
        </w:rPr>
        <w:t>同比</w:t>
      </w:r>
      <w:r w:rsidR="004847FE" w:rsidRPr="00F944A3">
        <w:rPr>
          <w:rFonts w:ascii="仿宋" w:eastAsia="仿宋" w:hAnsi="仿宋" w:cs="仿宋" w:hint="eastAsia"/>
          <w:sz w:val="32"/>
          <w:szCs w:val="32"/>
        </w:rPr>
        <w:t>下降10.66</w:t>
      </w:r>
      <w:r w:rsidR="00BD155E" w:rsidRPr="00F944A3">
        <w:rPr>
          <w:rFonts w:ascii="仿宋" w:eastAsia="仿宋" w:hAnsi="仿宋" w:cs="仿宋" w:hint="eastAsia"/>
          <w:sz w:val="32"/>
          <w:szCs w:val="32"/>
        </w:rPr>
        <w:t>%，利润</w:t>
      </w:r>
      <w:r w:rsidR="004B5E76" w:rsidRPr="00F944A3">
        <w:rPr>
          <w:rFonts w:ascii="仿宋" w:eastAsia="仿宋" w:hAnsi="仿宋" w:cs="仿宋" w:hint="eastAsia"/>
          <w:sz w:val="32"/>
          <w:szCs w:val="32"/>
        </w:rPr>
        <w:t>呈下滑趋势</w:t>
      </w:r>
      <w:r w:rsidR="00BD155E" w:rsidRPr="00F944A3">
        <w:rPr>
          <w:rFonts w:ascii="仿宋" w:eastAsia="仿宋" w:hAnsi="仿宋" w:cs="仿宋" w:hint="eastAsia"/>
          <w:sz w:val="32"/>
          <w:szCs w:val="32"/>
        </w:rPr>
        <w:t>。</w:t>
      </w:r>
      <w:r w:rsidR="004B5E76" w:rsidRPr="00F944A3">
        <w:rPr>
          <w:rFonts w:ascii="仿宋" w:eastAsia="仿宋" w:hAnsi="仿宋" w:cs="仿宋" w:hint="eastAsia"/>
          <w:sz w:val="32"/>
          <w:szCs w:val="32"/>
        </w:rPr>
        <w:t>玻璃主要需求市场为房地产市场，需求多发生于房地产施工阶段、体现于竣工段；1-2月份，房地产开发企业房屋施工面积42840.72万平方米，同比增长5.0%，房屋竣工面积550.17万平方米，下降8.1%， 整体市场需求偏弱，价格有所回落。</w:t>
      </w:r>
    </w:p>
    <w:p w:rsidR="006F572C" w:rsidRPr="00F944A3" w:rsidRDefault="00BD155E" w:rsidP="00F944A3">
      <w:pPr>
        <w:spacing w:line="276" w:lineRule="auto"/>
        <w:ind w:firstLineChars="200" w:firstLine="643"/>
        <w:outlineLvl w:val="0"/>
        <w:rPr>
          <w:rFonts w:ascii="仿宋" w:eastAsia="仿宋" w:hAnsi="仿宋"/>
          <w:b/>
          <w:sz w:val="32"/>
          <w:szCs w:val="32"/>
        </w:rPr>
      </w:pPr>
      <w:r w:rsidRPr="00F944A3">
        <w:rPr>
          <w:rFonts w:ascii="仿宋" w:eastAsia="仿宋" w:hAnsi="仿宋" w:cs="仿宋" w:hint="eastAsia"/>
          <w:b/>
          <w:sz w:val="32"/>
          <w:szCs w:val="32"/>
        </w:rPr>
        <w:t>四、</w:t>
      </w:r>
      <w:r w:rsidRPr="00F944A3">
        <w:rPr>
          <w:rFonts w:ascii="仿宋" w:eastAsia="仿宋" w:hAnsi="仿宋" w:hint="eastAsia"/>
          <w:b/>
          <w:sz w:val="32"/>
          <w:szCs w:val="32"/>
        </w:rPr>
        <w:t>全省陶瓷工业运行情况</w:t>
      </w:r>
    </w:p>
    <w:p w:rsidR="006F572C" w:rsidRPr="00F944A3" w:rsidRDefault="00BD155E" w:rsidP="00F944A3">
      <w:pPr>
        <w:spacing w:line="276" w:lineRule="auto"/>
        <w:ind w:firstLineChars="200" w:firstLine="640"/>
        <w:rPr>
          <w:rFonts w:ascii="仿宋" w:eastAsia="仿宋" w:hAnsi="仿宋" w:cs="仿宋"/>
          <w:kern w:val="0"/>
          <w:sz w:val="32"/>
          <w:szCs w:val="32"/>
        </w:rPr>
      </w:pPr>
      <w:r w:rsidRPr="00F944A3">
        <w:rPr>
          <w:rFonts w:ascii="仿宋" w:eastAsia="仿宋" w:hAnsi="仿宋" w:cs="仿宋" w:hint="eastAsia"/>
          <w:sz w:val="32"/>
          <w:szCs w:val="32"/>
        </w:rPr>
        <w:t>201年</w:t>
      </w:r>
      <w:r w:rsidR="00CE2D27" w:rsidRPr="00F944A3">
        <w:rPr>
          <w:rFonts w:ascii="仿宋" w:eastAsia="仿宋" w:hAnsi="仿宋" w:cs="仿宋" w:hint="eastAsia"/>
          <w:sz w:val="32"/>
          <w:szCs w:val="32"/>
        </w:rPr>
        <w:t>1-</w:t>
      </w:r>
      <w:r w:rsidR="00C06465" w:rsidRPr="00F944A3">
        <w:rPr>
          <w:rFonts w:ascii="仿宋" w:eastAsia="仿宋" w:hAnsi="仿宋" w:cs="仿宋" w:hint="eastAsia"/>
          <w:sz w:val="32"/>
          <w:szCs w:val="32"/>
        </w:rPr>
        <w:t>2</w:t>
      </w:r>
      <w:r w:rsidRPr="00F944A3">
        <w:rPr>
          <w:rFonts w:ascii="仿宋" w:eastAsia="仿宋" w:hAnsi="仿宋" w:cs="仿宋" w:hint="eastAsia"/>
          <w:sz w:val="32"/>
          <w:szCs w:val="32"/>
        </w:rPr>
        <w:t>月，全省卫生陶瓷累计产量</w:t>
      </w:r>
      <w:r w:rsidR="00CE2D27" w:rsidRPr="00F944A3">
        <w:rPr>
          <w:rFonts w:ascii="仿宋" w:eastAsia="仿宋" w:hAnsi="仿宋" w:cs="仿宋" w:hint="eastAsia"/>
          <w:sz w:val="32"/>
          <w:szCs w:val="32"/>
        </w:rPr>
        <w:t>894</w:t>
      </w:r>
      <w:r w:rsidRPr="00F944A3">
        <w:rPr>
          <w:rFonts w:ascii="仿宋" w:eastAsia="仿宋" w:hAnsi="仿宋" w:cs="仿宋" w:hint="eastAsia"/>
          <w:sz w:val="32"/>
          <w:szCs w:val="32"/>
        </w:rPr>
        <w:t>万件，同比增长</w:t>
      </w:r>
      <w:r w:rsidR="00CE2D27" w:rsidRPr="00F944A3">
        <w:rPr>
          <w:rFonts w:ascii="仿宋" w:eastAsia="仿宋" w:hAnsi="仿宋" w:cs="仿宋" w:hint="eastAsia"/>
          <w:sz w:val="32"/>
          <w:szCs w:val="32"/>
        </w:rPr>
        <w:t>11.79</w:t>
      </w:r>
      <w:r w:rsidRPr="00F944A3">
        <w:rPr>
          <w:rFonts w:ascii="仿宋" w:eastAsia="仿宋" w:hAnsi="仿宋" w:cs="仿宋" w:hint="eastAsia"/>
          <w:sz w:val="32"/>
          <w:szCs w:val="32"/>
        </w:rPr>
        <w:t>%，占全国总产量的</w:t>
      </w:r>
      <w:r w:rsidR="00CE2D27" w:rsidRPr="00F944A3">
        <w:rPr>
          <w:rFonts w:ascii="仿宋" w:eastAsia="仿宋" w:hAnsi="仿宋" w:cs="仿宋" w:hint="eastAsia"/>
          <w:sz w:val="32"/>
          <w:szCs w:val="32"/>
        </w:rPr>
        <w:t>34.16</w:t>
      </w:r>
      <w:r w:rsidRPr="00F944A3">
        <w:rPr>
          <w:rFonts w:ascii="仿宋" w:eastAsia="仿宋" w:hAnsi="仿宋" w:cs="仿宋" w:hint="eastAsia"/>
          <w:sz w:val="32"/>
          <w:szCs w:val="32"/>
        </w:rPr>
        <w:t>%。陶瓷砖累计产量</w:t>
      </w:r>
      <w:r w:rsidR="00CE2D27" w:rsidRPr="00F944A3">
        <w:rPr>
          <w:rFonts w:ascii="仿宋" w:eastAsia="仿宋" w:hAnsi="仿宋" w:cs="仿宋" w:hint="eastAsia"/>
          <w:sz w:val="32"/>
          <w:szCs w:val="32"/>
        </w:rPr>
        <w:t>1090.5</w:t>
      </w:r>
      <w:r w:rsidRPr="00F944A3">
        <w:rPr>
          <w:rFonts w:ascii="仿宋" w:eastAsia="仿宋" w:hAnsi="仿宋" w:cs="仿宋" w:hint="eastAsia"/>
          <w:sz w:val="32"/>
          <w:szCs w:val="32"/>
        </w:rPr>
        <w:t>万平方米，同比下降</w:t>
      </w:r>
      <w:r w:rsidR="00CE2D27" w:rsidRPr="00F944A3">
        <w:rPr>
          <w:rFonts w:ascii="仿宋" w:eastAsia="仿宋" w:hAnsi="仿宋" w:cs="仿宋" w:hint="eastAsia"/>
          <w:sz w:val="32"/>
          <w:szCs w:val="32"/>
        </w:rPr>
        <w:t>28.38</w:t>
      </w:r>
      <w:r w:rsidRPr="00F944A3">
        <w:rPr>
          <w:rFonts w:ascii="仿宋" w:eastAsia="仿宋" w:hAnsi="仿宋" w:cs="仿宋" w:hint="eastAsia"/>
          <w:sz w:val="32"/>
          <w:szCs w:val="32"/>
        </w:rPr>
        <w:t>%</w:t>
      </w:r>
      <w:r w:rsidR="00CE2D27" w:rsidRPr="00F944A3">
        <w:rPr>
          <w:rFonts w:ascii="仿宋" w:eastAsia="仿宋" w:hAnsi="仿宋" w:cs="仿宋" w:hint="eastAsia"/>
          <w:sz w:val="32"/>
          <w:szCs w:val="32"/>
        </w:rPr>
        <w:t>。2018年以来，一方面因为经济发展增速放缓、房地产市场去库存和金融市场去杠杆导致需求快速下降；另一方面源于市场竞争激励、营销成本增大以及环保、土地、能源、劳资等成本的攀升，导致其</w:t>
      </w:r>
      <w:r w:rsidR="00CE2D27" w:rsidRPr="00F944A3">
        <w:rPr>
          <w:rFonts w:ascii="仿宋" w:eastAsia="仿宋" w:hAnsi="仿宋" w:cs="仿宋" w:hint="eastAsia"/>
          <w:sz w:val="32"/>
          <w:szCs w:val="32"/>
        </w:rPr>
        <w:lastRenderedPageBreak/>
        <w:t xml:space="preserve">企业的利润空间被挤压，陶瓷行业整体运行偏弱。 </w:t>
      </w:r>
    </w:p>
    <w:p w:rsidR="006F572C" w:rsidRPr="00F944A3" w:rsidRDefault="00D97E04" w:rsidP="00F944A3">
      <w:pPr>
        <w:spacing w:line="276" w:lineRule="auto"/>
        <w:ind w:firstLineChars="200" w:firstLine="643"/>
        <w:outlineLvl w:val="0"/>
        <w:rPr>
          <w:rFonts w:ascii="仿宋" w:eastAsia="仿宋" w:hAnsi="仿宋" w:cs="仿宋"/>
          <w:b/>
          <w:sz w:val="32"/>
          <w:szCs w:val="32"/>
        </w:rPr>
      </w:pPr>
      <w:r w:rsidRPr="00F944A3">
        <w:rPr>
          <w:rFonts w:ascii="仿宋" w:eastAsia="仿宋" w:hAnsi="仿宋" w:cs="仿宋" w:hint="eastAsia"/>
          <w:b/>
          <w:sz w:val="32"/>
          <w:szCs w:val="32"/>
        </w:rPr>
        <w:t>五</w:t>
      </w:r>
      <w:r w:rsidR="00BD155E" w:rsidRPr="00F944A3">
        <w:rPr>
          <w:rFonts w:ascii="仿宋" w:eastAsia="仿宋" w:hAnsi="仿宋" w:cs="仿宋" w:hint="eastAsia"/>
          <w:b/>
          <w:sz w:val="32"/>
          <w:szCs w:val="32"/>
        </w:rPr>
        <w:t>、</w:t>
      </w:r>
      <w:r w:rsidR="00CE2D27" w:rsidRPr="00F944A3">
        <w:rPr>
          <w:rFonts w:ascii="仿宋" w:eastAsia="仿宋" w:hAnsi="仿宋" w:cs="仿宋" w:hint="eastAsia"/>
          <w:b/>
          <w:sz w:val="32"/>
          <w:szCs w:val="32"/>
        </w:rPr>
        <w:t>存在的问题与建议</w:t>
      </w:r>
    </w:p>
    <w:p w:rsidR="00D97E04" w:rsidRPr="00F944A3" w:rsidRDefault="00D97E04" w:rsidP="00F944A3">
      <w:pPr>
        <w:spacing w:line="276" w:lineRule="auto"/>
        <w:ind w:firstLineChars="200" w:firstLine="640"/>
        <w:rPr>
          <w:rFonts w:ascii="仿宋" w:eastAsia="仿宋" w:hAnsi="仿宋" w:cs="Times New Roman"/>
          <w:bCs/>
          <w:color w:val="000000"/>
          <w:sz w:val="32"/>
          <w:szCs w:val="32"/>
        </w:rPr>
      </w:pPr>
      <w:r w:rsidRPr="00F944A3">
        <w:rPr>
          <w:rFonts w:ascii="仿宋" w:eastAsia="仿宋" w:hAnsi="仿宋" w:cs="Times New Roman" w:hint="eastAsia"/>
          <w:bCs/>
          <w:color w:val="000000"/>
          <w:sz w:val="32"/>
          <w:szCs w:val="32"/>
        </w:rPr>
        <w:t>1. 严格执行“开二停一”的错峰生产政策</w:t>
      </w:r>
    </w:p>
    <w:p w:rsidR="00D97E04" w:rsidRPr="00F944A3" w:rsidRDefault="00D97E04" w:rsidP="00F944A3">
      <w:pPr>
        <w:spacing w:line="276" w:lineRule="auto"/>
        <w:ind w:firstLineChars="200" w:firstLine="640"/>
        <w:rPr>
          <w:rFonts w:ascii="仿宋" w:eastAsia="仿宋" w:hAnsi="仿宋" w:cs="Times New Roman"/>
          <w:bCs/>
          <w:color w:val="000000"/>
          <w:sz w:val="32"/>
          <w:szCs w:val="32"/>
        </w:rPr>
      </w:pPr>
      <w:r w:rsidRPr="00F944A3">
        <w:rPr>
          <w:rFonts w:ascii="仿宋" w:eastAsia="仿宋" w:hAnsi="仿宋" w:cs="Times New Roman" w:hint="eastAsia"/>
          <w:bCs/>
          <w:color w:val="000000"/>
          <w:sz w:val="32"/>
          <w:szCs w:val="32"/>
        </w:rPr>
        <w:t>严格执行“开二停一”的错峰生产政策《河南省2</w:t>
      </w:r>
      <w:r w:rsidRPr="00F944A3">
        <w:rPr>
          <w:rFonts w:ascii="仿宋" w:eastAsia="仿宋" w:hAnsi="仿宋" w:cs="Times New Roman"/>
          <w:bCs/>
          <w:color w:val="000000"/>
          <w:sz w:val="32"/>
          <w:szCs w:val="32"/>
        </w:rPr>
        <w:t>019</w:t>
      </w:r>
      <w:r w:rsidRPr="00F944A3">
        <w:rPr>
          <w:rFonts w:ascii="仿宋" w:eastAsia="仿宋" w:hAnsi="仿宋" w:cs="Times New Roman" w:hint="eastAsia"/>
          <w:bCs/>
          <w:color w:val="000000"/>
          <w:sz w:val="32"/>
          <w:szCs w:val="32"/>
        </w:rPr>
        <w:t>年大气污染防治攻坚战实施方案》中明确了水泥行业执行“开二停一”的错峰生产政策，此政策对今后有效治理雾霾、改善环境质量、化解水泥行业过剩产能、推进行业供给侧改革指出了新的方向。但通过排查，有些地市在政策执行上不够坚决，以各种借口支持企业开窑这样一来有失行业公平竞争。为提高政策的严肃性，全行业共同履行环保责任，建议政府部门能够及时督促没有落实停窑的地市，严格执行“开二停一”的错峰生产政策。</w:t>
      </w:r>
    </w:p>
    <w:p w:rsidR="00D97E04" w:rsidRPr="00F944A3" w:rsidRDefault="00D97E04" w:rsidP="00F944A3">
      <w:pPr>
        <w:spacing w:line="276" w:lineRule="auto"/>
        <w:ind w:firstLineChars="200" w:firstLine="640"/>
        <w:rPr>
          <w:rFonts w:ascii="仿宋" w:eastAsia="仿宋" w:hAnsi="仿宋"/>
          <w:sz w:val="32"/>
          <w:szCs w:val="32"/>
        </w:rPr>
      </w:pPr>
      <w:r w:rsidRPr="00F944A3">
        <w:rPr>
          <w:rFonts w:ascii="仿宋" w:eastAsia="仿宋" w:hAnsi="仿宋" w:hint="eastAsia"/>
          <w:sz w:val="32"/>
          <w:szCs w:val="32"/>
        </w:rPr>
        <w:t>2.要防止“杜绝一刀切”和“临时切一刀”造成水泥行业的阶段性供需失衡</w:t>
      </w:r>
    </w:p>
    <w:p w:rsidR="00D97E04" w:rsidRPr="00F944A3" w:rsidRDefault="00D97E04" w:rsidP="00F944A3">
      <w:pPr>
        <w:spacing w:line="276" w:lineRule="auto"/>
        <w:ind w:firstLineChars="200" w:firstLine="640"/>
        <w:rPr>
          <w:rFonts w:ascii="仿宋" w:eastAsia="仿宋" w:hAnsi="仿宋"/>
          <w:sz w:val="32"/>
          <w:szCs w:val="32"/>
        </w:rPr>
      </w:pPr>
      <w:r w:rsidRPr="00F944A3">
        <w:rPr>
          <w:rFonts w:ascii="仿宋" w:eastAsia="仿宋" w:hAnsi="仿宋" w:hint="eastAsia"/>
          <w:sz w:val="32"/>
          <w:szCs w:val="32"/>
        </w:rPr>
        <w:t>河南省水泥行业的污染主要在熟料生产环节，有计划的开展熟料生产的错峰，有利于水泥行业供需平衡。每年</w:t>
      </w:r>
      <w:r w:rsidRPr="00F944A3">
        <w:rPr>
          <w:rFonts w:ascii="仿宋" w:eastAsia="仿宋" w:hAnsi="仿宋"/>
          <w:sz w:val="32"/>
          <w:szCs w:val="32"/>
        </w:rPr>
        <w:t>4</w:t>
      </w:r>
      <w:r w:rsidRPr="00F944A3">
        <w:rPr>
          <w:rFonts w:ascii="仿宋" w:eastAsia="仿宋" w:hAnsi="仿宋" w:hint="eastAsia"/>
          <w:sz w:val="32"/>
          <w:szCs w:val="32"/>
        </w:rPr>
        <w:t>个月错峰生产时间不会造成熟料短缺，河南省熟料依旧有</w:t>
      </w:r>
      <w:r w:rsidRPr="00F944A3">
        <w:rPr>
          <w:rFonts w:ascii="仿宋" w:eastAsia="仿宋" w:hAnsi="仿宋"/>
          <w:sz w:val="32"/>
          <w:szCs w:val="32"/>
        </w:rPr>
        <w:t>10%-15%</w:t>
      </w:r>
      <w:r w:rsidRPr="00F944A3">
        <w:rPr>
          <w:rFonts w:ascii="仿宋" w:eastAsia="仿宋" w:hAnsi="仿宋" w:hint="eastAsia"/>
          <w:sz w:val="32"/>
          <w:szCs w:val="32"/>
        </w:rPr>
        <w:t>的过剩，只要水泥粉磨环节保持正常生产，水泥市场就不会出现因临时缺货造成的无序上涨。要防止一方面在“杜绝一刀切”的要求下推行差异化错峰生产，开着污染重的熟料生产线，另一方面又要在重污染天气采取极端措施，停产污染轻的水泥粉磨生产线。</w:t>
      </w:r>
    </w:p>
    <w:p w:rsidR="00D97E04" w:rsidRPr="00F944A3" w:rsidRDefault="00D97E04" w:rsidP="00F944A3">
      <w:pPr>
        <w:spacing w:line="276" w:lineRule="auto"/>
        <w:ind w:firstLineChars="200" w:firstLine="640"/>
        <w:rPr>
          <w:rFonts w:ascii="仿宋" w:eastAsia="仿宋" w:hAnsi="仿宋"/>
          <w:sz w:val="32"/>
          <w:szCs w:val="32"/>
        </w:rPr>
      </w:pPr>
      <w:r w:rsidRPr="00F944A3">
        <w:rPr>
          <w:rFonts w:ascii="仿宋" w:eastAsia="仿宋" w:hAnsi="仿宋" w:hint="eastAsia"/>
          <w:sz w:val="32"/>
          <w:szCs w:val="32"/>
        </w:rPr>
        <w:lastRenderedPageBreak/>
        <w:t>3.建议在水泥行业的错峰生产政策上熟料生产环节“一刀切”，水泥粉磨环节“杜绝一刀切”，确保行业价格稳定运行</w:t>
      </w:r>
    </w:p>
    <w:p w:rsidR="006F572C" w:rsidRPr="00F944A3" w:rsidRDefault="00D97E04" w:rsidP="00F944A3">
      <w:pPr>
        <w:spacing w:line="276" w:lineRule="auto"/>
        <w:ind w:firstLineChars="200" w:firstLine="640"/>
        <w:rPr>
          <w:rFonts w:ascii="仿宋" w:eastAsia="仿宋" w:hAnsi="仿宋"/>
          <w:sz w:val="32"/>
          <w:szCs w:val="32"/>
        </w:rPr>
      </w:pPr>
      <w:r w:rsidRPr="00F944A3">
        <w:rPr>
          <w:rFonts w:ascii="仿宋" w:eastAsia="仿宋" w:hAnsi="仿宋" w:hint="eastAsia"/>
          <w:sz w:val="32"/>
          <w:szCs w:val="32"/>
        </w:rPr>
        <w:t>熟料生产环节的“一刀切”有利于水泥熟料生产企业有计划的开展生产组织，保持熟料产品的均衡供应，因行业还是保持了产能的适度过剩，有利于行业价格的稳定运行，不出现大起大落。水泥粉磨环节不应在错峰生产期间或重污染天气采取停产的极端措施，这极易造成水泥产品供应短缺引起价格大幅度波动。</w:t>
      </w:r>
    </w:p>
    <w:sectPr w:rsidR="006F572C" w:rsidRPr="00F944A3" w:rsidSect="006F572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5D" w:rsidRDefault="003F5B5D" w:rsidP="006F572C">
      <w:r>
        <w:separator/>
      </w:r>
    </w:p>
  </w:endnote>
  <w:endnote w:type="continuationSeparator" w:id="1">
    <w:p w:rsidR="003F5B5D" w:rsidRDefault="003F5B5D" w:rsidP="006F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66"/>
    </w:sdtPr>
    <w:sdtEndPr>
      <w:rPr>
        <w:sz w:val="21"/>
        <w:szCs w:val="21"/>
      </w:rPr>
    </w:sdtEndPr>
    <w:sdtContent>
      <w:p w:rsidR="006F572C" w:rsidRDefault="00BD6F50">
        <w:pPr>
          <w:pStyle w:val="a4"/>
          <w:jc w:val="center"/>
        </w:pPr>
        <w:r>
          <w:rPr>
            <w:sz w:val="21"/>
            <w:szCs w:val="21"/>
          </w:rPr>
          <w:fldChar w:fldCharType="begin"/>
        </w:r>
        <w:r w:rsidR="00BD155E">
          <w:rPr>
            <w:sz w:val="21"/>
            <w:szCs w:val="21"/>
          </w:rPr>
          <w:instrText xml:space="preserve"> PAGE   \* MERGEFORMAT </w:instrText>
        </w:r>
        <w:r>
          <w:rPr>
            <w:sz w:val="21"/>
            <w:szCs w:val="21"/>
          </w:rPr>
          <w:fldChar w:fldCharType="separate"/>
        </w:r>
        <w:r w:rsidR="00F944A3" w:rsidRPr="00F944A3">
          <w:rPr>
            <w:noProof/>
            <w:sz w:val="21"/>
            <w:szCs w:val="21"/>
            <w:lang w:val="zh-CN"/>
          </w:rPr>
          <w:t>8</w:t>
        </w:r>
        <w:r>
          <w:rPr>
            <w:sz w:val="21"/>
            <w:szCs w:val="21"/>
          </w:rPr>
          <w:fldChar w:fldCharType="end"/>
        </w:r>
      </w:p>
    </w:sdtContent>
  </w:sdt>
  <w:p w:rsidR="006F572C" w:rsidRDefault="006F57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5D" w:rsidRDefault="003F5B5D" w:rsidP="006F572C">
      <w:r>
        <w:separator/>
      </w:r>
    </w:p>
  </w:footnote>
  <w:footnote w:type="continuationSeparator" w:id="1">
    <w:p w:rsidR="003F5B5D" w:rsidRDefault="003F5B5D" w:rsidP="006F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9BE5B0"/>
    <w:multiLevelType w:val="singleLevel"/>
    <w:tmpl w:val="AD9BE5B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58EC"/>
    <w:rsid w:val="00006FD3"/>
    <w:rsid w:val="00015DD0"/>
    <w:rsid w:val="000314AA"/>
    <w:rsid w:val="00031CE8"/>
    <w:rsid w:val="00033BD8"/>
    <w:rsid w:val="00044805"/>
    <w:rsid w:val="00052990"/>
    <w:rsid w:val="000574FA"/>
    <w:rsid w:val="000619BD"/>
    <w:rsid w:val="000676D1"/>
    <w:rsid w:val="000710C1"/>
    <w:rsid w:val="000862B4"/>
    <w:rsid w:val="00090E34"/>
    <w:rsid w:val="000A4587"/>
    <w:rsid w:val="000A7BFA"/>
    <w:rsid w:val="000B0D65"/>
    <w:rsid w:val="000B1A26"/>
    <w:rsid w:val="000C0161"/>
    <w:rsid w:val="000C3761"/>
    <w:rsid w:val="000C7FBE"/>
    <w:rsid w:val="000D19BB"/>
    <w:rsid w:val="000D1E27"/>
    <w:rsid w:val="000D39CE"/>
    <w:rsid w:val="000D3FE2"/>
    <w:rsid w:val="000D4B75"/>
    <w:rsid w:val="000E3705"/>
    <w:rsid w:val="000F0F90"/>
    <w:rsid w:val="000F173C"/>
    <w:rsid w:val="000F6646"/>
    <w:rsid w:val="00104978"/>
    <w:rsid w:val="00122294"/>
    <w:rsid w:val="00124B4C"/>
    <w:rsid w:val="00136E83"/>
    <w:rsid w:val="001424A4"/>
    <w:rsid w:val="00155231"/>
    <w:rsid w:val="001557E0"/>
    <w:rsid w:val="001627E8"/>
    <w:rsid w:val="0016423D"/>
    <w:rsid w:val="001675DB"/>
    <w:rsid w:val="001704B9"/>
    <w:rsid w:val="001744BF"/>
    <w:rsid w:val="00174C83"/>
    <w:rsid w:val="00175259"/>
    <w:rsid w:val="001806A7"/>
    <w:rsid w:val="0018152B"/>
    <w:rsid w:val="00187D9A"/>
    <w:rsid w:val="0019172B"/>
    <w:rsid w:val="00192205"/>
    <w:rsid w:val="00192DFF"/>
    <w:rsid w:val="001936A1"/>
    <w:rsid w:val="0019378A"/>
    <w:rsid w:val="001943D1"/>
    <w:rsid w:val="0019787A"/>
    <w:rsid w:val="001A57A0"/>
    <w:rsid w:val="001A5F76"/>
    <w:rsid w:val="001B1FEE"/>
    <w:rsid w:val="001B2059"/>
    <w:rsid w:val="001C6D26"/>
    <w:rsid w:val="001D13D4"/>
    <w:rsid w:val="001D3725"/>
    <w:rsid w:val="001E00E2"/>
    <w:rsid w:val="001E0538"/>
    <w:rsid w:val="001E17EB"/>
    <w:rsid w:val="001E4103"/>
    <w:rsid w:val="001F4627"/>
    <w:rsid w:val="001F7C6C"/>
    <w:rsid w:val="00204DCD"/>
    <w:rsid w:val="00215C9D"/>
    <w:rsid w:val="00217F43"/>
    <w:rsid w:val="00220EE5"/>
    <w:rsid w:val="00223B39"/>
    <w:rsid w:val="00227D56"/>
    <w:rsid w:val="00234893"/>
    <w:rsid w:val="00237AB2"/>
    <w:rsid w:val="002403F6"/>
    <w:rsid w:val="00243944"/>
    <w:rsid w:val="00251D1F"/>
    <w:rsid w:val="0025500B"/>
    <w:rsid w:val="00260097"/>
    <w:rsid w:val="00260385"/>
    <w:rsid w:val="00261EE3"/>
    <w:rsid w:val="002752EB"/>
    <w:rsid w:val="00293772"/>
    <w:rsid w:val="002945CA"/>
    <w:rsid w:val="002A76F9"/>
    <w:rsid w:val="002B6038"/>
    <w:rsid w:val="002C2D77"/>
    <w:rsid w:val="002D2B75"/>
    <w:rsid w:val="002F5073"/>
    <w:rsid w:val="002F766D"/>
    <w:rsid w:val="003031A9"/>
    <w:rsid w:val="00305B5C"/>
    <w:rsid w:val="00305DBE"/>
    <w:rsid w:val="003077C8"/>
    <w:rsid w:val="0031074C"/>
    <w:rsid w:val="003129F2"/>
    <w:rsid w:val="00315447"/>
    <w:rsid w:val="00332369"/>
    <w:rsid w:val="00332590"/>
    <w:rsid w:val="003337B5"/>
    <w:rsid w:val="003358EC"/>
    <w:rsid w:val="003374BF"/>
    <w:rsid w:val="0034182C"/>
    <w:rsid w:val="003452E8"/>
    <w:rsid w:val="00347782"/>
    <w:rsid w:val="003547D9"/>
    <w:rsid w:val="00355A5C"/>
    <w:rsid w:val="00374149"/>
    <w:rsid w:val="00383048"/>
    <w:rsid w:val="003907A8"/>
    <w:rsid w:val="003A7D76"/>
    <w:rsid w:val="003B516D"/>
    <w:rsid w:val="003C6EC1"/>
    <w:rsid w:val="003D2407"/>
    <w:rsid w:val="003D4355"/>
    <w:rsid w:val="003D521F"/>
    <w:rsid w:val="003D5A80"/>
    <w:rsid w:val="003E12FF"/>
    <w:rsid w:val="003E1AE3"/>
    <w:rsid w:val="003E22D0"/>
    <w:rsid w:val="003E5A46"/>
    <w:rsid w:val="003F5B5D"/>
    <w:rsid w:val="00400BEA"/>
    <w:rsid w:val="00402937"/>
    <w:rsid w:val="00406C53"/>
    <w:rsid w:val="00413576"/>
    <w:rsid w:val="00415830"/>
    <w:rsid w:val="0041794B"/>
    <w:rsid w:val="00427B0C"/>
    <w:rsid w:val="00434F9B"/>
    <w:rsid w:val="004429A9"/>
    <w:rsid w:val="00453E30"/>
    <w:rsid w:val="00461802"/>
    <w:rsid w:val="004717D0"/>
    <w:rsid w:val="00473A9D"/>
    <w:rsid w:val="004847FE"/>
    <w:rsid w:val="004B5E76"/>
    <w:rsid w:val="004B6AB8"/>
    <w:rsid w:val="004B71F1"/>
    <w:rsid w:val="004C4918"/>
    <w:rsid w:val="004D7D93"/>
    <w:rsid w:val="004E1D82"/>
    <w:rsid w:val="004E44EA"/>
    <w:rsid w:val="004E5250"/>
    <w:rsid w:val="004F098E"/>
    <w:rsid w:val="004F2772"/>
    <w:rsid w:val="004F5DC6"/>
    <w:rsid w:val="005073F9"/>
    <w:rsid w:val="00512051"/>
    <w:rsid w:val="0051594A"/>
    <w:rsid w:val="005169D7"/>
    <w:rsid w:val="005175A3"/>
    <w:rsid w:val="0052242E"/>
    <w:rsid w:val="00522FB4"/>
    <w:rsid w:val="0053256D"/>
    <w:rsid w:val="005363E9"/>
    <w:rsid w:val="00543DE6"/>
    <w:rsid w:val="00544E8F"/>
    <w:rsid w:val="00545918"/>
    <w:rsid w:val="00545C45"/>
    <w:rsid w:val="00547A08"/>
    <w:rsid w:val="00555883"/>
    <w:rsid w:val="005605F0"/>
    <w:rsid w:val="00564241"/>
    <w:rsid w:val="00575B29"/>
    <w:rsid w:val="00590615"/>
    <w:rsid w:val="005922E5"/>
    <w:rsid w:val="00593851"/>
    <w:rsid w:val="00596103"/>
    <w:rsid w:val="0059612D"/>
    <w:rsid w:val="005A0DD4"/>
    <w:rsid w:val="005B0517"/>
    <w:rsid w:val="005B4848"/>
    <w:rsid w:val="005C1956"/>
    <w:rsid w:val="005C716E"/>
    <w:rsid w:val="005D37FB"/>
    <w:rsid w:val="005E1874"/>
    <w:rsid w:val="005E354F"/>
    <w:rsid w:val="005F106B"/>
    <w:rsid w:val="00611EF6"/>
    <w:rsid w:val="00616BC5"/>
    <w:rsid w:val="0062070A"/>
    <w:rsid w:val="0062294C"/>
    <w:rsid w:val="00626E59"/>
    <w:rsid w:val="006270BE"/>
    <w:rsid w:val="006311A2"/>
    <w:rsid w:val="00636714"/>
    <w:rsid w:val="00637459"/>
    <w:rsid w:val="00640282"/>
    <w:rsid w:val="00643453"/>
    <w:rsid w:val="00657E31"/>
    <w:rsid w:val="00671C4D"/>
    <w:rsid w:val="00672709"/>
    <w:rsid w:val="00677626"/>
    <w:rsid w:val="00681AB2"/>
    <w:rsid w:val="006869C1"/>
    <w:rsid w:val="00687B4D"/>
    <w:rsid w:val="006A10A1"/>
    <w:rsid w:val="006A1612"/>
    <w:rsid w:val="006A1650"/>
    <w:rsid w:val="006A273E"/>
    <w:rsid w:val="006A2CF8"/>
    <w:rsid w:val="006A5D32"/>
    <w:rsid w:val="006A77F9"/>
    <w:rsid w:val="006B1904"/>
    <w:rsid w:val="006B1F28"/>
    <w:rsid w:val="006B48F7"/>
    <w:rsid w:val="006B7B1E"/>
    <w:rsid w:val="006C3F6D"/>
    <w:rsid w:val="006D313C"/>
    <w:rsid w:val="006D68E7"/>
    <w:rsid w:val="006E038D"/>
    <w:rsid w:val="006F0922"/>
    <w:rsid w:val="006F572C"/>
    <w:rsid w:val="006F6EA7"/>
    <w:rsid w:val="00703D7E"/>
    <w:rsid w:val="00703FDE"/>
    <w:rsid w:val="007119A0"/>
    <w:rsid w:val="00711AE9"/>
    <w:rsid w:val="00717EFC"/>
    <w:rsid w:val="007271E8"/>
    <w:rsid w:val="007401E5"/>
    <w:rsid w:val="00745EC8"/>
    <w:rsid w:val="00751E5F"/>
    <w:rsid w:val="0075363C"/>
    <w:rsid w:val="00756B86"/>
    <w:rsid w:val="0076275F"/>
    <w:rsid w:val="007670FC"/>
    <w:rsid w:val="007702F5"/>
    <w:rsid w:val="007705CA"/>
    <w:rsid w:val="00770977"/>
    <w:rsid w:val="00776593"/>
    <w:rsid w:val="00784A54"/>
    <w:rsid w:val="00785426"/>
    <w:rsid w:val="00785EF6"/>
    <w:rsid w:val="007919B8"/>
    <w:rsid w:val="007A0205"/>
    <w:rsid w:val="007A4B12"/>
    <w:rsid w:val="007A4FCE"/>
    <w:rsid w:val="007A7509"/>
    <w:rsid w:val="007C2110"/>
    <w:rsid w:val="007C385B"/>
    <w:rsid w:val="007C5178"/>
    <w:rsid w:val="007D1E2F"/>
    <w:rsid w:val="007D61DF"/>
    <w:rsid w:val="007E0100"/>
    <w:rsid w:val="007E09B3"/>
    <w:rsid w:val="007E15EF"/>
    <w:rsid w:val="007E64AB"/>
    <w:rsid w:val="007F695C"/>
    <w:rsid w:val="00802A76"/>
    <w:rsid w:val="00805CE4"/>
    <w:rsid w:val="00812EE9"/>
    <w:rsid w:val="00814F51"/>
    <w:rsid w:val="00823620"/>
    <w:rsid w:val="00835844"/>
    <w:rsid w:val="00840371"/>
    <w:rsid w:val="00840CF8"/>
    <w:rsid w:val="0084127E"/>
    <w:rsid w:val="008459A3"/>
    <w:rsid w:val="008579D6"/>
    <w:rsid w:val="00861A33"/>
    <w:rsid w:val="008740A3"/>
    <w:rsid w:val="00877298"/>
    <w:rsid w:val="00883B14"/>
    <w:rsid w:val="00885C9E"/>
    <w:rsid w:val="0088723F"/>
    <w:rsid w:val="00891492"/>
    <w:rsid w:val="008918E0"/>
    <w:rsid w:val="0089400F"/>
    <w:rsid w:val="00896D81"/>
    <w:rsid w:val="00896EA8"/>
    <w:rsid w:val="008970D4"/>
    <w:rsid w:val="008A0781"/>
    <w:rsid w:val="008A2A48"/>
    <w:rsid w:val="008A554F"/>
    <w:rsid w:val="008B75D0"/>
    <w:rsid w:val="008C3530"/>
    <w:rsid w:val="008D2188"/>
    <w:rsid w:val="008E2A39"/>
    <w:rsid w:val="00901C48"/>
    <w:rsid w:val="009112A4"/>
    <w:rsid w:val="00911B4E"/>
    <w:rsid w:val="009137D9"/>
    <w:rsid w:val="00917788"/>
    <w:rsid w:val="00942282"/>
    <w:rsid w:val="00942814"/>
    <w:rsid w:val="009440F7"/>
    <w:rsid w:val="00947AD6"/>
    <w:rsid w:val="00951614"/>
    <w:rsid w:val="00960694"/>
    <w:rsid w:val="00960BD0"/>
    <w:rsid w:val="0096564D"/>
    <w:rsid w:val="009703B1"/>
    <w:rsid w:val="00974270"/>
    <w:rsid w:val="0097616C"/>
    <w:rsid w:val="00985E2E"/>
    <w:rsid w:val="009905C9"/>
    <w:rsid w:val="00992392"/>
    <w:rsid w:val="009A18F5"/>
    <w:rsid w:val="009A3D17"/>
    <w:rsid w:val="009A4137"/>
    <w:rsid w:val="009A6D2A"/>
    <w:rsid w:val="009A7E94"/>
    <w:rsid w:val="009B65A8"/>
    <w:rsid w:val="009C0205"/>
    <w:rsid w:val="009C06BE"/>
    <w:rsid w:val="009C53DF"/>
    <w:rsid w:val="009C5483"/>
    <w:rsid w:val="009C7AE5"/>
    <w:rsid w:val="009D2A4C"/>
    <w:rsid w:val="009E40DC"/>
    <w:rsid w:val="009E4CF5"/>
    <w:rsid w:val="009E5EFE"/>
    <w:rsid w:val="009E6059"/>
    <w:rsid w:val="009F09FC"/>
    <w:rsid w:val="009F0CC7"/>
    <w:rsid w:val="009F0FD9"/>
    <w:rsid w:val="00A12285"/>
    <w:rsid w:val="00A15758"/>
    <w:rsid w:val="00A24C3D"/>
    <w:rsid w:val="00A26D6E"/>
    <w:rsid w:val="00A278CC"/>
    <w:rsid w:val="00A32DFE"/>
    <w:rsid w:val="00A35B2F"/>
    <w:rsid w:val="00A36E6D"/>
    <w:rsid w:val="00A44998"/>
    <w:rsid w:val="00A45FE7"/>
    <w:rsid w:val="00A60CFF"/>
    <w:rsid w:val="00A615EB"/>
    <w:rsid w:val="00A64283"/>
    <w:rsid w:val="00A66C67"/>
    <w:rsid w:val="00A7209B"/>
    <w:rsid w:val="00A723E1"/>
    <w:rsid w:val="00A74F3A"/>
    <w:rsid w:val="00A856CB"/>
    <w:rsid w:val="00A8629D"/>
    <w:rsid w:val="00A8768A"/>
    <w:rsid w:val="00A92BA4"/>
    <w:rsid w:val="00A95AA6"/>
    <w:rsid w:val="00A9618A"/>
    <w:rsid w:val="00AA109B"/>
    <w:rsid w:val="00AA2225"/>
    <w:rsid w:val="00AA3104"/>
    <w:rsid w:val="00AA34C2"/>
    <w:rsid w:val="00AA5A44"/>
    <w:rsid w:val="00AB0558"/>
    <w:rsid w:val="00AB1064"/>
    <w:rsid w:val="00AB112F"/>
    <w:rsid w:val="00AB37BC"/>
    <w:rsid w:val="00AC219F"/>
    <w:rsid w:val="00AC2204"/>
    <w:rsid w:val="00AC23F1"/>
    <w:rsid w:val="00AC3AFE"/>
    <w:rsid w:val="00AC721E"/>
    <w:rsid w:val="00AC7262"/>
    <w:rsid w:val="00AC7C11"/>
    <w:rsid w:val="00AD27E5"/>
    <w:rsid w:val="00AE0860"/>
    <w:rsid w:val="00AF3C01"/>
    <w:rsid w:val="00B03D2D"/>
    <w:rsid w:val="00B10D83"/>
    <w:rsid w:val="00B12259"/>
    <w:rsid w:val="00B22FF2"/>
    <w:rsid w:val="00B2363B"/>
    <w:rsid w:val="00B320C4"/>
    <w:rsid w:val="00B3246D"/>
    <w:rsid w:val="00B3327A"/>
    <w:rsid w:val="00B3434D"/>
    <w:rsid w:val="00B40CCE"/>
    <w:rsid w:val="00B42DCD"/>
    <w:rsid w:val="00B4468F"/>
    <w:rsid w:val="00B47A1F"/>
    <w:rsid w:val="00B47C2F"/>
    <w:rsid w:val="00B47C93"/>
    <w:rsid w:val="00B52D7A"/>
    <w:rsid w:val="00B530F0"/>
    <w:rsid w:val="00B62387"/>
    <w:rsid w:val="00B6432E"/>
    <w:rsid w:val="00B66CCC"/>
    <w:rsid w:val="00B73A2E"/>
    <w:rsid w:val="00B81C8D"/>
    <w:rsid w:val="00B83C84"/>
    <w:rsid w:val="00B84207"/>
    <w:rsid w:val="00B849F8"/>
    <w:rsid w:val="00B8518A"/>
    <w:rsid w:val="00B94E08"/>
    <w:rsid w:val="00B969A2"/>
    <w:rsid w:val="00B96B71"/>
    <w:rsid w:val="00BA634F"/>
    <w:rsid w:val="00BA65A4"/>
    <w:rsid w:val="00BA7885"/>
    <w:rsid w:val="00BB30D0"/>
    <w:rsid w:val="00BD155E"/>
    <w:rsid w:val="00BD246F"/>
    <w:rsid w:val="00BD60D3"/>
    <w:rsid w:val="00BD6F50"/>
    <w:rsid w:val="00BE5451"/>
    <w:rsid w:val="00BF5649"/>
    <w:rsid w:val="00C06465"/>
    <w:rsid w:val="00C076EB"/>
    <w:rsid w:val="00C117B3"/>
    <w:rsid w:val="00C22F7F"/>
    <w:rsid w:val="00C253B3"/>
    <w:rsid w:val="00C2753D"/>
    <w:rsid w:val="00C3030C"/>
    <w:rsid w:val="00C36275"/>
    <w:rsid w:val="00C36F94"/>
    <w:rsid w:val="00C413A9"/>
    <w:rsid w:val="00C520A6"/>
    <w:rsid w:val="00C53230"/>
    <w:rsid w:val="00C54E23"/>
    <w:rsid w:val="00C62AC4"/>
    <w:rsid w:val="00C66E39"/>
    <w:rsid w:val="00C70F33"/>
    <w:rsid w:val="00C70F89"/>
    <w:rsid w:val="00C87934"/>
    <w:rsid w:val="00C90EFF"/>
    <w:rsid w:val="00CA4A4C"/>
    <w:rsid w:val="00CB5D88"/>
    <w:rsid w:val="00CC46B5"/>
    <w:rsid w:val="00CD7204"/>
    <w:rsid w:val="00CD739B"/>
    <w:rsid w:val="00CE2823"/>
    <w:rsid w:val="00CE2D27"/>
    <w:rsid w:val="00CE37E3"/>
    <w:rsid w:val="00CE7056"/>
    <w:rsid w:val="00CF7947"/>
    <w:rsid w:val="00D06F2E"/>
    <w:rsid w:val="00D17B07"/>
    <w:rsid w:val="00D21FE0"/>
    <w:rsid w:val="00D40229"/>
    <w:rsid w:val="00D5254F"/>
    <w:rsid w:val="00D55005"/>
    <w:rsid w:val="00D56117"/>
    <w:rsid w:val="00D72D0A"/>
    <w:rsid w:val="00D72DDC"/>
    <w:rsid w:val="00D80539"/>
    <w:rsid w:val="00D8109B"/>
    <w:rsid w:val="00D8265F"/>
    <w:rsid w:val="00D82A97"/>
    <w:rsid w:val="00D85593"/>
    <w:rsid w:val="00D91124"/>
    <w:rsid w:val="00D93F22"/>
    <w:rsid w:val="00D942E5"/>
    <w:rsid w:val="00D95853"/>
    <w:rsid w:val="00D97E04"/>
    <w:rsid w:val="00DA3AED"/>
    <w:rsid w:val="00DA3DD9"/>
    <w:rsid w:val="00DA4D24"/>
    <w:rsid w:val="00DB2BC0"/>
    <w:rsid w:val="00DB36A7"/>
    <w:rsid w:val="00DB5CF3"/>
    <w:rsid w:val="00DC7C9A"/>
    <w:rsid w:val="00DD13B1"/>
    <w:rsid w:val="00DD6ED7"/>
    <w:rsid w:val="00DE2320"/>
    <w:rsid w:val="00DE6DE8"/>
    <w:rsid w:val="00DF2C25"/>
    <w:rsid w:val="00DF3E0F"/>
    <w:rsid w:val="00DF3E3E"/>
    <w:rsid w:val="00E03DF0"/>
    <w:rsid w:val="00E05A28"/>
    <w:rsid w:val="00E12A5C"/>
    <w:rsid w:val="00E222BC"/>
    <w:rsid w:val="00E22844"/>
    <w:rsid w:val="00E31997"/>
    <w:rsid w:val="00E37C71"/>
    <w:rsid w:val="00E43167"/>
    <w:rsid w:val="00E43918"/>
    <w:rsid w:val="00E478BB"/>
    <w:rsid w:val="00E47992"/>
    <w:rsid w:val="00E51064"/>
    <w:rsid w:val="00E52569"/>
    <w:rsid w:val="00E5611F"/>
    <w:rsid w:val="00E6152A"/>
    <w:rsid w:val="00E61B38"/>
    <w:rsid w:val="00E628C2"/>
    <w:rsid w:val="00E648EE"/>
    <w:rsid w:val="00E65749"/>
    <w:rsid w:val="00E6768D"/>
    <w:rsid w:val="00E71D4D"/>
    <w:rsid w:val="00E80CFE"/>
    <w:rsid w:val="00E84DBD"/>
    <w:rsid w:val="00E96B98"/>
    <w:rsid w:val="00EA0A17"/>
    <w:rsid w:val="00EA401F"/>
    <w:rsid w:val="00EB0962"/>
    <w:rsid w:val="00EB37BB"/>
    <w:rsid w:val="00EB41FB"/>
    <w:rsid w:val="00EC7C0E"/>
    <w:rsid w:val="00ED347C"/>
    <w:rsid w:val="00ED46EA"/>
    <w:rsid w:val="00EF0606"/>
    <w:rsid w:val="00F0111D"/>
    <w:rsid w:val="00F0389A"/>
    <w:rsid w:val="00F11305"/>
    <w:rsid w:val="00F27355"/>
    <w:rsid w:val="00F42EE7"/>
    <w:rsid w:val="00F42FC4"/>
    <w:rsid w:val="00F66ECD"/>
    <w:rsid w:val="00F67D51"/>
    <w:rsid w:val="00F70CAA"/>
    <w:rsid w:val="00F719BD"/>
    <w:rsid w:val="00F75A68"/>
    <w:rsid w:val="00F765F5"/>
    <w:rsid w:val="00F944A3"/>
    <w:rsid w:val="00FA3696"/>
    <w:rsid w:val="00FA462E"/>
    <w:rsid w:val="00FB1134"/>
    <w:rsid w:val="00FB640E"/>
    <w:rsid w:val="00FB6514"/>
    <w:rsid w:val="00FC527B"/>
    <w:rsid w:val="00FC6847"/>
    <w:rsid w:val="00FC74A0"/>
    <w:rsid w:val="00FD1A36"/>
    <w:rsid w:val="00FD67C5"/>
    <w:rsid w:val="00FD792F"/>
    <w:rsid w:val="00FE2EAE"/>
    <w:rsid w:val="00FE3B6A"/>
    <w:rsid w:val="00FE3D94"/>
    <w:rsid w:val="00FE3DBA"/>
    <w:rsid w:val="00FE4F4F"/>
    <w:rsid w:val="00FE6DFC"/>
    <w:rsid w:val="026C5566"/>
    <w:rsid w:val="02E41D0A"/>
    <w:rsid w:val="046E3704"/>
    <w:rsid w:val="04EB3607"/>
    <w:rsid w:val="05556A8C"/>
    <w:rsid w:val="06A87FF6"/>
    <w:rsid w:val="07C537C2"/>
    <w:rsid w:val="08AB4D07"/>
    <w:rsid w:val="09C84C93"/>
    <w:rsid w:val="09D630DB"/>
    <w:rsid w:val="0C5122A5"/>
    <w:rsid w:val="0DAD2FFC"/>
    <w:rsid w:val="0E923E39"/>
    <w:rsid w:val="103278EB"/>
    <w:rsid w:val="10EE163E"/>
    <w:rsid w:val="11D61881"/>
    <w:rsid w:val="16D53B20"/>
    <w:rsid w:val="1A8C6E5A"/>
    <w:rsid w:val="1BF25CF2"/>
    <w:rsid w:val="1D51032E"/>
    <w:rsid w:val="1F716111"/>
    <w:rsid w:val="234E1512"/>
    <w:rsid w:val="29903037"/>
    <w:rsid w:val="29AA5095"/>
    <w:rsid w:val="2A3A0738"/>
    <w:rsid w:val="2AE931F7"/>
    <w:rsid w:val="2D1D132A"/>
    <w:rsid w:val="2FCB1775"/>
    <w:rsid w:val="30855993"/>
    <w:rsid w:val="30E174EF"/>
    <w:rsid w:val="34FD1E7C"/>
    <w:rsid w:val="3741192D"/>
    <w:rsid w:val="3C3E4610"/>
    <w:rsid w:val="3E350189"/>
    <w:rsid w:val="40B3044E"/>
    <w:rsid w:val="40CA4AED"/>
    <w:rsid w:val="46696515"/>
    <w:rsid w:val="467A0454"/>
    <w:rsid w:val="4B443DD7"/>
    <w:rsid w:val="4D8F0D55"/>
    <w:rsid w:val="4EA52577"/>
    <w:rsid w:val="4FA14CBB"/>
    <w:rsid w:val="504D7523"/>
    <w:rsid w:val="518779F3"/>
    <w:rsid w:val="563673CA"/>
    <w:rsid w:val="5803629F"/>
    <w:rsid w:val="5AAC59CE"/>
    <w:rsid w:val="5D061158"/>
    <w:rsid w:val="66744FC9"/>
    <w:rsid w:val="66901A12"/>
    <w:rsid w:val="6AC52363"/>
    <w:rsid w:val="6AE06DAF"/>
    <w:rsid w:val="6C637CD5"/>
    <w:rsid w:val="6C775329"/>
    <w:rsid w:val="721B1486"/>
    <w:rsid w:val="73A3454C"/>
    <w:rsid w:val="7485666E"/>
    <w:rsid w:val="751068FA"/>
    <w:rsid w:val="7A662574"/>
    <w:rsid w:val="7B7B13D6"/>
    <w:rsid w:val="7BA14719"/>
    <w:rsid w:val="7CEC494A"/>
    <w:rsid w:val="7D7C1AFD"/>
    <w:rsid w:val="7DA758D3"/>
    <w:rsid w:val="7E8623A0"/>
    <w:rsid w:val="7ECC7C0F"/>
    <w:rsid w:val="7FF12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2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F572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F572C"/>
    <w:rPr>
      <w:sz w:val="18"/>
      <w:szCs w:val="18"/>
    </w:rPr>
  </w:style>
  <w:style w:type="paragraph" w:styleId="a4">
    <w:name w:val="footer"/>
    <w:basedOn w:val="a"/>
    <w:link w:val="Char0"/>
    <w:uiPriority w:val="99"/>
    <w:unhideWhenUsed/>
    <w:qFormat/>
    <w:rsid w:val="006F57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57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F572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F572C"/>
    <w:rPr>
      <w:b/>
      <w:bCs/>
    </w:rPr>
  </w:style>
  <w:style w:type="character" w:styleId="a8">
    <w:name w:val="Hyperlink"/>
    <w:basedOn w:val="a0"/>
    <w:uiPriority w:val="99"/>
    <w:unhideWhenUsed/>
    <w:qFormat/>
    <w:rsid w:val="006F572C"/>
    <w:rPr>
      <w:color w:val="0000FF"/>
      <w:u w:val="single"/>
    </w:rPr>
  </w:style>
  <w:style w:type="table" w:styleId="a9">
    <w:name w:val="Table Grid"/>
    <w:basedOn w:val="a1"/>
    <w:uiPriority w:val="59"/>
    <w:qFormat/>
    <w:rsid w:val="006F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5"/>
    <w:link w:val="2Char"/>
    <w:qFormat/>
    <w:rsid w:val="006F572C"/>
    <w:pPr>
      <w:tabs>
        <w:tab w:val="clear" w:pos="8306"/>
        <w:tab w:val="left" w:pos="4200"/>
        <w:tab w:val="left" w:pos="4620"/>
      </w:tabs>
      <w:jc w:val="left"/>
    </w:pPr>
    <w:rPr>
      <w:rFonts w:ascii="Times New Roman" w:eastAsia="宋体" w:hAnsi="Times New Roman" w:cs="Times New Roman"/>
    </w:rPr>
  </w:style>
  <w:style w:type="character" w:customStyle="1" w:styleId="Char1">
    <w:name w:val="页眉 Char"/>
    <w:basedOn w:val="a0"/>
    <w:link w:val="a5"/>
    <w:uiPriority w:val="99"/>
    <w:semiHidden/>
    <w:qFormat/>
    <w:rsid w:val="006F572C"/>
    <w:rPr>
      <w:sz w:val="18"/>
      <w:szCs w:val="18"/>
    </w:rPr>
  </w:style>
  <w:style w:type="character" w:customStyle="1" w:styleId="2Char">
    <w:name w:val="样式2 Char"/>
    <w:basedOn w:val="Char1"/>
    <w:link w:val="2"/>
    <w:qFormat/>
    <w:rsid w:val="006F572C"/>
    <w:rPr>
      <w:rFonts w:ascii="Times New Roman" w:eastAsia="宋体" w:hAnsi="Times New Roman" w:cs="Times New Roman"/>
    </w:rPr>
  </w:style>
  <w:style w:type="character" w:customStyle="1" w:styleId="Char0">
    <w:name w:val="页脚 Char"/>
    <w:basedOn w:val="a0"/>
    <w:link w:val="a4"/>
    <w:uiPriority w:val="99"/>
    <w:qFormat/>
    <w:rsid w:val="006F572C"/>
    <w:rPr>
      <w:sz w:val="18"/>
      <w:szCs w:val="18"/>
    </w:rPr>
  </w:style>
  <w:style w:type="paragraph" w:customStyle="1" w:styleId="p0">
    <w:name w:val="p0"/>
    <w:basedOn w:val="a"/>
    <w:qFormat/>
    <w:rsid w:val="006F572C"/>
    <w:pPr>
      <w:widowControl/>
    </w:pPr>
    <w:rPr>
      <w:rFonts w:ascii="Times New Roman" w:eastAsia="宋体" w:hAnsi="Times New Roman" w:cs="Times New Roman"/>
      <w:kern w:val="0"/>
      <w:szCs w:val="21"/>
    </w:rPr>
  </w:style>
  <w:style w:type="paragraph" w:styleId="aa">
    <w:name w:val="No Spacing"/>
    <w:qFormat/>
    <w:rsid w:val="006F572C"/>
    <w:pPr>
      <w:widowControl w:val="0"/>
      <w:ind w:firstLineChars="200" w:firstLine="200"/>
      <w:jc w:val="both"/>
    </w:pPr>
    <w:rPr>
      <w:rFonts w:ascii="Calibri" w:eastAsia="仿宋_GB2312" w:hAnsi="Calibri"/>
      <w:kern w:val="2"/>
      <w:sz w:val="32"/>
      <w:szCs w:val="22"/>
    </w:rPr>
  </w:style>
  <w:style w:type="character" w:customStyle="1" w:styleId="Char">
    <w:name w:val="批注框文本 Char"/>
    <w:basedOn w:val="a0"/>
    <w:link w:val="a3"/>
    <w:uiPriority w:val="99"/>
    <w:semiHidden/>
    <w:qFormat/>
    <w:rsid w:val="006F572C"/>
    <w:rPr>
      <w:sz w:val="18"/>
      <w:szCs w:val="18"/>
    </w:rPr>
  </w:style>
  <w:style w:type="paragraph" w:styleId="ab">
    <w:name w:val="List Paragraph"/>
    <w:basedOn w:val="a"/>
    <w:uiPriority w:val="99"/>
    <w:qFormat/>
    <w:rsid w:val="006F572C"/>
    <w:pPr>
      <w:ind w:firstLineChars="200" w:firstLine="420"/>
    </w:pPr>
  </w:style>
</w:styles>
</file>

<file path=word/webSettings.xml><?xml version="1.0" encoding="utf-8"?>
<w:webSettings xmlns:r="http://schemas.openxmlformats.org/officeDocument/2006/relationships" xmlns:w="http://schemas.openxmlformats.org/wordprocessingml/2006/main">
  <w:divs>
    <w:div w:id="277757064">
      <w:bodyDiv w:val="1"/>
      <w:marLeft w:val="0"/>
      <w:marRight w:val="0"/>
      <w:marTop w:val="0"/>
      <w:marBottom w:val="0"/>
      <w:divBdr>
        <w:top w:val="none" w:sz="0" w:space="0" w:color="auto"/>
        <w:left w:val="none" w:sz="0" w:space="0" w:color="auto"/>
        <w:bottom w:val="none" w:sz="0" w:space="0" w:color="auto"/>
        <w:right w:val="none" w:sz="0" w:space="0" w:color="auto"/>
      </w:divBdr>
    </w:div>
    <w:div w:id="401030455">
      <w:bodyDiv w:val="1"/>
      <w:marLeft w:val="0"/>
      <w:marRight w:val="0"/>
      <w:marTop w:val="0"/>
      <w:marBottom w:val="0"/>
      <w:divBdr>
        <w:top w:val="none" w:sz="0" w:space="0" w:color="auto"/>
        <w:left w:val="none" w:sz="0" w:space="0" w:color="auto"/>
        <w:bottom w:val="none" w:sz="0" w:space="0" w:color="auto"/>
        <w:right w:val="none" w:sz="0" w:space="0" w:color="auto"/>
      </w:divBdr>
    </w:div>
    <w:div w:id="839465391">
      <w:bodyDiv w:val="1"/>
      <w:marLeft w:val="0"/>
      <w:marRight w:val="0"/>
      <w:marTop w:val="0"/>
      <w:marBottom w:val="0"/>
      <w:divBdr>
        <w:top w:val="none" w:sz="0" w:space="0" w:color="auto"/>
        <w:left w:val="none" w:sz="0" w:space="0" w:color="auto"/>
        <w:bottom w:val="none" w:sz="0" w:space="0" w:color="auto"/>
        <w:right w:val="none" w:sz="0" w:space="0" w:color="auto"/>
      </w:divBdr>
    </w:div>
    <w:div w:id="210391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26705;&#24425;&#29618;\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产量</c:v>
                </c:pt>
              </c:strCache>
            </c:strRef>
          </c:tx>
          <c:cat>
            <c:strRef>
              <c:f>Sheet1!$A$2:$A$14</c:f>
              <c:strCache>
                <c:ptCount val="13"/>
                <c:pt idx="0">
                  <c:v>1广东</c:v>
                </c:pt>
                <c:pt idx="1">
                  <c:v>2四川</c:v>
                </c:pt>
                <c:pt idx="2">
                  <c:v>3江苏</c:v>
                </c:pt>
                <c:pt idx="3">
                  <c:v>4云南</c:v>
                </c:pt>
                <c:pt idx="4">
                  <c:v>5广西</c:v>
                </c:pt>
                <c:pt idx="5">
                  <c:v>6安徽</c:v>
                </c:pt>
                <c:pt idx="6">
                  <c:v>7浙江</c:v>
                </c:pt>
                <c:pt idx="7">
                  <c:v>8福建</c:v>
                </c:pt>
                <c:pt idx="8">
                  <c:v>9湖北</c:v>
                </c:pt>
                <c:pt idx="9">
                  <c:v>10贵州</c:v>
                </c:pt>
                <c:pt idx="10">
                  <c:v>11山东</c:v>
                </c:pt>
                <c:pt idx="11">
                  <c:v>12湖南</c:v>
                </c:pt>
                <c:pt idx="12">
                  <c:v>13河南</c:v>
                </c:pt>
              </c:strCache>
            </c:strRef>
          </c:cat>
          <c:val>
            <c:numRef>
              <c:f>Sheet1!$B$2:$B$14</c:f>
              <c:numCache>
                <c:formatCode>General</c:formatCode>
                <c:ptCount val="13"/>
                <c:pt idx="0">
                  <c:v>1975.57</c:v>
                </c:pt>
                <c:pt idx="1">
                  <c:v>1854.81</c:v>
                </c:pt>
                <c:pt idx="2">
                  <c:v>1785.1599999999999</c:v>
                </c:pt>
                <c:pt idx="3">
                  <c:v>1521.6899999999998</c:v>
                </c:pt>
                <c:pt idx="4">
                  <c:v>1421.1399999999999</c:v>
                </c:pt>
                <c:pt idx="5">
                  <c:v>1377.05</c:v>
                </c:pt>
                <c:pt idx="6">
                  <c:v>1236.5</c:v>
                </c:pt>
                <c:pt idx="7">
                  <c:v>1222.72</c:v>
                </c:pt>
                <c:pt idx="8">
                  <c:v>1130.96</c:v>
                </c:pt>
                <c:pt idx="9">
                  <c:v>1001.3299999999994</c:v>
                </c:pt>
                <c:pt idx="10">
                  <c:v>982.24</c:v>
                </c:pt>
                <c:pt idx="11">
                  <c:v>968.4</c:v>
                </c:pt>
                <c:pt idx="12">
                  <c:v>948.82999999999947</c:v>
                </c:pt>
              </c:numCache>
            </c:numRef>
          </c:val>
        </c:ser>
        <c:axId val="240483712"/>
        <c:axId val="240776320"/>
      </c:barChart>
      <c:catAx>
        <c:axId val="240483712"/>
        <c:scaling>
          <c:orientation val="minMax"/>
        </c:scaling>
        <c:axPos val="b"/>
        <c:numFmt formatCode="General" sourceLinked="1"/>
        <c:majorTickMark val="none"/>
        <c:tickLblPos val="nextTo"/>
        <c:crossAx val="240776320"/>
        <c:crosses val="autoZero"/>
        <c:auto val="1"/>
        <c:lblAlgn val="ctr"/>
        <c:lblOffset val="100"/>
      </c:catAx>
      <c:valAx>
        <c:axId val="240776320"/>
        <c:scaling>
          <c:orientation val="minMax"/>
        </c:scaling>
        <c:axPos val="l"/>
        <c:majorGridlines/>
        <c:title>
          <c:tx>
            <c:rich>
              <a:bodyPr/>
              <a:lstStyle/>
              <a:p>
                <a:pPr>
                  <a:defRPr/>
                </a:pPr>
                <a:r>
                  <a:rPr lang="zh-CN" altLang="en-US" sz="1200"/>
                  <a:t>单位：万吨</a:t>
                </a:r>
              </a:p>
            </c:rich>
          </c:tx>
          <c:layout>
            <c:manualLayout>
              <c:xMode val="edge"/>
              <c:yMode val="edge"/>
              <c:x val="3.476483177380027E-2"/>
              <c:y val="0.57479678676529067"/>
            </c:manualLayout>
          </c:layout>
        </c:title>
        <c:numFmt formatCode="General" sourceLinked="1"/>
        <c:majorTickMark val="none"/>
        <c:tickLblPos val="nextTo"/>
        <c:crossAx val="240483712"/>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7FABE6-C9AB-4305-89FF-87A6BBD45F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557</Words>
  <Characters>3181</Characters>
  <Application>Microsoft Office Word</Application>
  <DocSecurity>0</DocSecurity>
  <Lines>26</Lines>
  <Paragraphs>7</Paragraphs>
  <ScaleCrop>false</ScaleCrop>
  <Company>Sky123.Org</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ChinaUser</dc:creator>
  <cp:lastModifiedBy>sang</cp:lastModifiedBy>
  <cp:revision>12</cp:revision>
  <cp:lastPrinted>2019-04-19T05:34:00Z</cp:lastPrinted>
  <dcterms:created xsi:type="dcterms:W3CDTF">2019-03-21T02:29:00Z</dcterms:created>
  <dcterms:modified xsi:type="dcterms:W3CDTF">2019-04-19T05:38:00Z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