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B986">
      <w:pPr>
        <w:bidi w:val="0"/>
        <w:ind w:left="0" w:leftChars="0" w:firstLine="0" w:firstLineChars="0"/>
        <w:rPr>
          <w:rFonts w:hint="default" w:ascii="Times New Roman" w:hAnsi="Times New Roman" w:eastAsia="黑体" w:cs="Times New Roman"/>
          <w:lang w:val="en-US" w:eastAsia="zh-CN"/>
        </w:rPr>
      </w:pPr>
      <w:bookmarkStart w:id="0" w:name="_GoBack"/>
      <w:r>
        <w:rPr>
          <w:rFonts w:hint="default" w:ascii="Times New Roman" w:hAnsi="Times New Roman" w:eastAsia="黑体" w:cs="Times New Roman"/>
          <w:lang w:val="en-US" w:eastAsia="zh-CN"/>
        </w:rPr>
        <w:t>附件2</w:t>
      </w:r>
    </w:p>
    <w:p w14:paraId="535B5D0B">
      <w:pPr>
        <w:rPr>
          <w:rFonts w:hint="default" w:ascii="Times New Roman" w:hAnsi="Times New Roman" w:eastAsia="黑体" w:cs="Times New Roman"/>
          <w:sz w:val="32"/>
          <w:szCs w:val="32"/>
          <w:highlight w:val="none"/>
        </w:rPr>
      </w:pPr>
    </w:p>
    <w:p w14:paraId="6E7BBA4B">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14:paraId="62385233">
      <w:pPr>
        <w:spacing w:line="360" w:lineRule="auto"/>
        <w:jc w:val="center"/>
        <w:rPr>
          <w:rFonts w:hint="default" w:ascii="Times New Roman" w:hAnsi="Times New Roman" w:eastAsia="方正小标宋简体" w:cs="Times New Roman"/>
          <w:bCs/>
          <w:sz w:val="52"/>
          <w:szCs w:val="52"/>
          <w:highlight w:val="none"/>
        </w:rPr>
      </w:pPr>
    </w:p>
    <w:p w14:paraId="0475F950">
      <w:pPr>
        <w:spacing w:line="360" w:lineRule="auto"/>
        <w:jc w:val="center"/>
        <w:rPr>
          <w:rFonts w:hint="default" w:ascii="Times New Roman" w:hAnsi="Times New Roman" w:eastAsia="方正小标宋简体" w:cs="Times New Roman"/>
          <w:bCs/>
          <w:sz w:val="52"/>
          <w:szCs w:val="52"/>
          <w:highlight w:val="none"/>
        </w:rPr>
      </w:pPr>
    </w:p>
    <w:p w14:paraId="13F95EC4">
      <w:pPr>
        <w:spacing w:line="360" w:lineRule="auto"/>
        <w:ind w:left="0" w:leftChars="0" w:firstLine="0" w:firstLineChars="0"/>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绿色工厂</w:t>
      </w:r>
      <w:r>
        <w:rPr>
          <w:rFonts w:hint="eastAsia" w:ascii="Times New Roman" w:hAnsi="Times New Roman" w:eastAsia="黑体" w:cs="Times New Roman"/>
          <w:bCs/>
          <w:sz w:val="52"/>
          <w:szCs w:val="52"/>
          <w:highlight w:val="none"/>
          <w:lang w:val="en-US" w:eastAsia="zh-CN"/>
        </w:rPr>
        <w:t>第三方</w:t>
      </w:r>
      <w:r>
        <w:rPr>
          <w:rFonts w:hint="default" w:ascii="Times New Roman" w:hAnsi="Times New Roman" w:eastAsia="黑体" w:cs="Times New Roman"/>
          <w:bCs/>
          <w:sz w:val="52"/>
          <w:szCs w:val="52"/>
          <w:highlight w:val="none"/>
        </w:rPr>
        <w:t>评价报告</w:t>
      </w:r>
    </w:p>
    <w:bookmarkEnd w:id="0"/>
    <w:p w14:paraId="008D9B76">
      <w:pPr>
        <w:rPr>
          <w:rFonts w:hint="default" w:ascii="Times New Roman" w:hAnsi="Times New Roman" w:eastAsia="仿宋_GB2312" w:cs="Times New Roman"/>
          <w:sz w:val="28"/>
          <w:highlight w:val="none"/>
        </w:rPr>
      </w:pPr>
    </w:p>
    <w:p w14:paraId="5FE6D8F6">
      <w:pPr>
        <w:rPr>
          <w:rFonts w:hint="default" w:ascii="Times New Roman" w:hAnsi="Times New Roman" w:eastAsia="仿宋_GB2312" w:cs="Times New Roman"/>
          <w:sz w:val="28"/>
          <w:highlight w:val="none"/>
        </w:rPr>
      </w:pPr>
    </w:p>
    <w:p w14:paraId="3C65A529">
      <w:pPr>
        <w:rPr>
          <w:rFonts w:hint="default" w:ascii="Times New Roman" w:hAnsi="Times New Roman" w:eastAsia="方正仿宋简体" w:cs="Times New Roman"/>
          <w:sz w:val="32"/>
          <w:highlight w:val="none"/>
        </w:rPr>
      </w:pPr>
    </w:p>
    <w:p w14:paraId="6CDDC835">
      <w:pPr>
        <w:rPr>
          <w:rFonts w:hint="default" w:ascii="Times New Roman" w:hAnsi="Times New Roman" w:eastAsia="方正仿宋简体" w:cs="Times New Roman"/>
          <w:sz w:val="32"/>
          <w:highlight w:val="none"/>
        </w:rPr>
      </w:pPr>
    </w:p>
    <w:p w14:paraId="3BE94E83">
      <w:pPr>
        <w:pStyle w:val="2"/>
        <w:rPr>
          <w:rFonts w:hint="default" w:ascii="Times New Roman" w:hAnsi="Times New Roman" w:eastAsia="方正仿宋简体" w:cs="Times New Roman"/>
          <w:sz w:val="32"/>
          <w:highlight w:val="none"/>
        </w:rPr>
      </w:pPr>
    </w:p>
    <w:p w14:paraId="1D755D0A">
      <w:pPr>
        <w:rPr>
          <w:rFonts w:hint="default"/>
        </w:rPr>
      </w:pPr>
    </w:p>
    <w:p w14:paraId="3C0B52D8">
      <w:pPr>
        <w:pStyle w:val="2"/>
        <w:rPr>
          <w:rFonts w:hint="default" w:ascii="Times New Roman" w:hAnsi="Times New Roman"/>
        </w:rPr>
      </w:pPr>
    </w:p>
    <w:p w14:paraId="044CF3F2">
      <w:pPr>
        <w:rPr>
          <w:rFonts w:hint="default" w:ascii="Times New Roman" w:hAnsi="Times New Roman" w:eastAsia="方正仿宋简体" w:cs="Times New Roman"/>
          <w:sz w:val="32"/>
          <w:highlight w:val="none"/>
        </w:rPr>
      </w:pPr>
    </w:p>
    <w:p w14:paraId="7501FA63">
      <w:pPr>
        <w:spacing w:line="360" w:lineRule="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工    厂   名   称：</w:t>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 xml:space="preserve">  </w:t>
      </w:r>
    </w:p>
    <w:p w14:paraId="408CF491">
      <w:pPr>
        <w:spacing w:line="360" w:lineRule="auto"/>
        <w:ind w:firstLine="1928" w:firstLineChars="600"/>
        <w:rPr>
          <w:rFonts w:hint="default" w:ascii="Times New Roman" w:hAnsi="Times New Roman" w:eastAsia="仿宋" w:cs="Times New Roman"/>
          <w:b/>
          <w:sz w:val="32"/>
          <w:szCs w:val="32"/>
          <w:highlight w:val="none"/>
        </w:rPr>
      </w:pPr>
    </w:p>
    <w:p w14:paraId="3232983E">
      <w:pPr>
        <w:spacing w:line="360" w:lineRule="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第三方评价机构名称：</w:t>
      </w:r>
      <w:r>
        <w:rPr>
          <w:rFonts w:hint="default" w:ascii="Times New Roman" w:hAnsi="Times New Roman" w:eastAsia="仿宋" w:cs="Times New Roman"/>
          <w:sz w:val="32"/>
          <w:szCs w:val="32"/>
          <w:highlight w:val="none"/>
          <w:u w:val="single"/>
        </w:rPr>
        <w:t xml:space="preserve">                        </w:t>
      </w:r>
    </w:p>
    <w:p w14:paraId="3841BE9C">
      <w:pPr>
        <w:rPr>
          <w:rFonts w:hint="default" w:ascii="Times New Roman" w:hAnsi="Times New Roman" w:eastAsia="仿宋" w:cs="Times New Roman"/>
          <w:sz w:val="32"/>
          <w:highlight w:val="none"/>
        </w:rPr>
      </w:pPr>
    </w:p>
    <w:p w14:paraId="30CD881D">
      <w:pPr>
        <w:rPr>
          <w:rFonts w:hint="default" w:ascii="Times New Roman" w:hAnsi="Times New Roman" w:eastAsia="方正仿宋简体" w:cs="Times New Roman"/>
          <w:sz w:val="32"/>
          <w:highlight w:val="none"/>
        </w:rPr>
      </w:pPr>
    </w:p>
    <w:p w14:paraId="436FB15A">
      <w:pPr>
        <w:spacing w:line="360" w:lineRule="auto"/>
        <w:ind w:left="0" w:leftChars="0" w:firstLine="0" w:firstLineChars="0"/>
        <w:jc w:val="center"/>
        <w:rPr>
          <w:rFonts w:hint="default" w:ascii="Times New Roman" w:hAnsi="Times New Roman" w:eastAsia="仿宋" w:cs="Times New Roman"/>
          <w:sz w:val="30"/>
          <w:highlight w:val="none"/>
        </w:rPr>
      </w:pPr>
      <w:r>
        <w:rPr>
          <w:rFonts w:hint="default" w:ascii="Times New Roman" w:hAnsi="Times New Roman" w:cs="Times New Roman"/>
          <w:sz w:val="30"/>
          <w:highlight w:val="none"/>
          <w:lang w:val="en-US" w:eastAsia="zh-CN"/>
        </w:rPr>
        <w:t>工业和信息化</w:t>
      </w:r>
      <w:r>
        <w:rPr>
          <w:rFonts w:hint="eastAsia" w:ascii="Times New Roman" w:hAnsi="Times New Roman" w:cs="Times New Roman"/>
          <w:sz w:val="30"/>
          <w:highlight w:val="none"/>
          <w:lang w:val="en-US" w:eastAsia="zh-CN"/>
        </w:rPr>
        <w:t>部</w:t>
      </w:r>
      <w:r>
        <w:rPr>
          <w:rFonts w:hint="default" w:ascii="Times New Roman" w:hAnsi="Times New Roman" w:eastAsia="仿宋" w:cs="Times New Roman"/>
          <w:sz w:val="30"/>
          <w:highlight w:val="none"/>
        </w:rPr>
        <w:t>制</w:t>
      </w:r>
    </w:p>
    <w:p w14:paraId="55BC0128">
      <w:pPr>
        <w:ind w:left="0" w:leftChars="0" w:firstLine="0" w:firstLineChars="0"/>
        <w:jc w:val="center"/>
        <w:rPr>
          <w:rFonts w:hint="default" w:ascii="Times New Roman" w:hAnsi="Times New Roman" w:eastAsia="仿宋_GB2312" w:cs="Times New Roman"/>
          <w:sz w:val="32"/>
          <w:szCs w:val="32"/>
          <w:highlight w:val="none"/>
        </w:rPr>
      </w:pPr>
      <w:r>
        <w:rPr>
          <w:rFonts w:hint="eastAsia" w:ascii="Times New Roman" w:hAnsi="Times New Roman" w:cs="Times New Roman"/>
          <w:sz w:val="30"/>
          <w:highlight w:val="none"/>
          <w:lang w:val="en-US" w:eastAsia="zh-CN"/>
        </w:rPr>
        <w:t xml:space="preserve">20  </w:t>
      </w:r>
      <w:r>
        <w:rPr>
          <w:rFonts w:hint="default" w:ascii="Times New Roman" w:hAnsi="Times New Roman" w:eastAsia="仿宋" w:cs="Times New Roman"/>
          <w:sz w:val="30"/>
          <w:highlight w:val="none"/>
        </w:rPr>
        <w:t>年    月    日</w:t>
      </w:r>
    </w:p>
    <w:p w14:paraId="7B14C193">
      <w:pPr>
        <w:spacing w:line="360" w:lineRule="auto"/>
        <w:ind w:left="0" w:leftChars="0" w:firstLine="0" w:firstLineChars="0"/>
        <w:jc w:val="both"/>
        <w:rPr>
          <w:rFonts w:hint="default" w:ascii="Times New Roman" w:hAnsi="Times New Roman" w:eastAsia="黑体" w:cs="Times New Roman"/>
          <w:bCs/>
          <w:sz w:val="36"/>
          <w:szCs w:val="36"/>
          <w:highlight w:val="none"/>
        </w:rPr>
      </w:pPr>
    </w:p>
    <w:p w14:paraId="7CC04D0E">
      <w:pPr>
        <w:spacing w:line="360" w:lineRule="auto"/>
        <w:ind w:left="0" w:leftChars="0" w:firstLine="0" w:firstLineChars="0"/>
        <w:jc w:val="center"/>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基本信息表</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6"/>
        <w:gridCol w:w="2404"/>
        <w:gridCol w:w="431"/>
        <w:gridCol w:w="1848"/>
        <w:gridCol w:w="124"/>
        <w:gridCol w:w="2415"/>
      </w:tblGrid>
      <w:tr w14:paraId="11C8E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5000" w:type="pct"/>
            <w:gridSpan w:val="6"/>
            <w:noWrap w:val="0"/>
            <w:vAlign w:val="center"/>
          </w:tcPr>
          <w:p w14:paraId="1281EBC2">
            <w:pPr>
              <w:pStyle w:val="8"/>
              <w:bidi w:val="0"/>
              <w:spacing w:line="320" w:lineRule="exact"/>
              <w:jc w:val="both"/>
              <w:rPr>
                <w:rFonts w:hint="default" w:cs="Times New Roman"/>
              </w:rPr>
            </w:pPr>
            <w:r>
              <w:rPr>
                <w:rFonts w:hint="default" w:cs="Times New Roman"/>
                <w:b/>
                <w:bCs/>
              </w:rPr>
              <w:t>一、工厂基本信息</w:t>
            </w:r>
          </w:p>
        </w:tc>
      </w:tr>
      <w:tr w14:paraId="4F12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7D4805B4">
            <w:pPr>
              <w:pStyle w:val="8"/>
              <w:bidi w:val="0"/>
              <w:spacing w:line="320" w:lineRule="exact"/>
              <w:rPr>
                <w:rFonts w:hint="default" w:cs="Times New Roman"/>
              </w:rPr>
            </w:pPr>
            <w:r>
              <w:rPr>
                <w:rFonts w:hint="default" w:cs="Times New Roman"/>
              </w:rPr>
              <w:t>工厂名称</w:t>
            </w:r>
          </w:p>
        </w:tc>
        <w:tc>
          <w:tcPr>
            <w:tcW w:w="3887" w:type="pct"/>
            <w:gridSpan w:val="5"/>
            <w:noWrap w:val="0"/>
            <w:vAlign w:val="center"/>
          </w:tcPr>
          <w:p w14:paraId="001ACF66">
            <w:pPr>
              <w:pStyle w:val="8"/>
              <w:bidi w:val="0"/>
              <w:spacing w:line="320" w:lineRule="exact"/>
              <w:rPr>
                <w:rFonts w:hint="default" w:cs="Times New Roman"/>
              </w:rPr>
            </w:pPr>
          </w:p>
        </w:tc>
      </w:tr>
      <w:tr w14:paraId="0B0B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484DB407">
            <w:pPr>
              <w:pStyle w:val="8"/>
              <w:bidi w:val="0"/>
              <w:spacing w:line="320" w:lineRule="exact"/>
              <w:rPr>
                <w:rFonts w:hint="default" w:cs="Times New Roman"/>
              </w:rPr>
            </w:pPr>
            <w:r>
              <w:rPr>
                <w:rFonts w:hint="default" w:cs="Times New Roman"/>
              </w:rPr>
              <w:t>工厂地址</w:t>
            </w:r>
          </w:p>
        </w:tc>
        <w:tc>
          <w:tcPr>
            <w:tcW w:w="3887" w:type="pct"/>
            <w:gridSpan w:val="5"/>
            <w:noWrap w:val="0"/>
            <w:vAlign w:val="center"/>
          </w:tcPr>
          <w:p w14:paraId="76955C34">
            <w:pPr>
              <w:pStyle w:val="8"/>
              <w:bidi w:val="0"/>
              <w:spacing w:line="320" w:lineRule="exact"/>
              <w:rPr>
                <w:rFonts w:hint="default" w:cs="Times New Roman"/>
              </w:rPr>
            </w:pPr>
          </w:p>
        </w:tc>
      </w:tr>
      <w:tr w14:paraId="090C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112" w:type="pct"/>
            <w:noWrap w:val="0"/>
            <w:vAlign w:val="center"/>
          </w:tcPr>
          <w:p w14:paraId="76F3DC9F">
            <w:pPr>
              <w:pStyle w:val="8"/>
              <w:bidi w:val="0"/>
              <w:spacing w:line="320" w:lineRule="exact"/>
              <w:rPr>
                <w:rFonts w:hint="default" w:cs="Times New Roman"/>
                <w:lang w:eastAsia="zh-CN"/>
              </w:rPr>
            </w:pPr>
            <w:r>
              <w:rPr>
                <w:rFonts w:hint="default" w:cs="Times New Roman"/>
                <w:lang w:eastAsia="zh-CN"/>
              </w:rPr>
              <w:t>所属行业</w:t>
            </w:r>
          </w:p>
        </w:tc>
        <w:tc>
          <w:tcPr>
            <w:tcW w:w="1526" w:type="pct"/>
            <w:gridSpan w:val="2"/>
            <w:noWrap w:val="0"/>
            <w:vAlign w:val="center"/>
          </w:tcPr>
          <w:p w14:paraId="746C9849">
            <w:pPr>
              <w:pStyle w:val="8"/>
              <w:bidi w:val="0"/>
              <w:spacing w:line="320" w:lineRule="exact"/>
              <w:rPr>
                <w:rFonts w:hint="default" w:eastAsia="仿宋" w:cs="Times New Roman"/>
                <w:lang w:val="en-US" w:eastAsia="zh-CN"/>
              </w:rPr>
            </w:pPr>
            <w:r>
              <w:rPr>
                <w:rFonts w:hint="eastAsia" w:cs="Times New Roman"/>
                <w:lang w:val="en-US" w:eastAsia="zh-CN"/>
              </w:rPr>
              <w:t>（按统计局四位代码填写，可多填）</w:t>
            </w:r>
          </w:p>
        </w:tc>
        <w:tc>
          <w:tcPr>
            <w:tcW w:w="995" w:type="pct"/>
            <w:noWrap w:val="0"/>
            <w:vAlign w:val="center"/>
          </w:tcPr>
          <w:p w14:paraId="27D89ADF">
            <w:pPr>
              <w:pStyle w:val="8"/>
              <w:bidi w:val="0"/>
              <w:spacing w:line="320" w:lineRule="exact"/>
              <w:rPr>
                <w:rFonts w:hint="default" w:cs="Times New Roman"/>
                <w:lang w:eastAsia="zh-CN"/>
              </w:rPr>
            </w:pPr>
            <w:r>
              <w:rPr>
                <w:rFonts w:hint="default" w:cs="Times New Roman"/>
                <w:lang w:eastAsia="zh-CN"/>
              </w:rPr>
              <w:t>主要产品</w:t>
            </w:r>
          </w:p>
        </w:tc>
        <w:tc>
          <w:tcPr>
            <w:tcW w:w="1365" w:type="pct"/>
            <w:gridSpan w:val="2"/>
            <w:noWrap w:val="0"/>
            <w:vAlign w:val="center"/>
          </w:tcPr>
          <w:p w14:paraId="22C73ECC">
            <w:pPr>
              <w:pStyle w:val="8"/>
              <w:bidi w:val="0"/>
              <w:spacing w:line="320" w:lineRule="exact"/>
              <w:rPr>
                <w:rFonts w:hint="default" w:cs="Times New Roman"/>
              </w:rPr>
            </w:pPr>
          </w:p>
        </w:tc>
      </w:tr>
      <w:tr w14:paraId="2526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57A2841A">
            <w:pPr>
              <w:pStyle w:val="8"/>
              <w:bidi w:val="0"/>
              <w:spacing w:line="320" w:lineRule="exact"/>
              <w:rPr>
                <w:rFonts w:hint="default" w:cs="Times New Roman"/>
              </w:rPr>
            </w:pPr>
            <w:r>
              <w:rPr>
                <w:rFonts w:hint="default" w:cs="Times New Roman"/>
                <w:lang w:eastAsia="zh-CN"/>
              </w:rPr>
              <w:t>单位</w:t>
            </w:r>
            <w:r>
              <w:rPr>
                <w:rFonts w:hint="default" w:cs="Times New Roman"/>
              </w:rPr>
              <w:t>性质</w:t>
            </w:r>
          </w:p>
        </w:tc>
        <w:tc>
          <w:tcPr>
            <w:tcW w:w="3887" w:type="pct"/>
            <w:gridSpan w:val="5"/>
            <w:noWrap w:val="0"/>
            <w:vAlign w:val="center"/>
          </w:tcPr>
          <w:p w14:paraId="4D3A7502">
            <w:pPr>
              <w:pStyle w:val="8"/>
              <w:bidi w:val="0"/>
              <w:spacing w:line="320" w:lineRule="exact"/>
              <w:rPr>
                <w:rFonts w:hint="default" w:cs="Times New Roman"/>
              </w:rPr>
            </w:pPr>
            <w:r>
              <w:rPr>
                <w:rFonts w:hint="default" w:cs="Times New Roman"/>
              </w:rPr>
              <w:t>内资（</w:t>
            </w:r>
            <w:r>
              <w:rPr>
                <w:rFonts w:hint="eastAsia" w:cs="Times New Roman"/>
                <w:lang w:eastAsia="zh-CN"/>
              </w:rPr>
              <w:t>□</w:t>
            </w:r>
            <w:r>
              <w:rPr>
                <w:rFonts w:hint="default" w:cs="Times New Roman"/>
              </w:rPr>
              <w:t>国有</w:t>
            </w:r>
            <w:r>
              <w:rPr>
                <w:rFonts w:hint="eastAsia" w:cs="Times New Roman"/>
                <w:lang w:eastAsia="zh-CN"/>
              </w:rPr>
              <w:t>□</w:t>
            </w:r>
            <w:r>
              <w:rPr>
                <w:rFonts w:hint="default" w:cs="Times New Roman"/>
              </w:rPr>
              <w:t>集体</w:t>
            </w:r>
            <w:r>
              <w:rPr>
                <w:rFonts w:hint="eastAsia" w:cs="Times New Roman"/>
                <w:lang w:eastAsia="zh-CN"/>
              </w:rPr>
              <w:t>□</w:t>
            </w:r>
            <w:r>
              <w:rPr>
                <w:rFonts w:hint="default" w:cs="Times New Roman"/>
              </w:rPr>
              <w:t>民营）</w:t>
            </w:r>
            <w:r>
              <w:rPr>
                <w:rFonts w:hint="eastAsia" w:cs="Times New Roman"/>
                <w:lang w:eastAsia="zh-CN"/>
              </w:rPr>
              <w:t>□</w:t>
            </w:r>
            <w:r>
              <w:rPr>
                <w:rFonts w:hint="default" w:cs="Times New Roman"/>
              </w:rPr>
              <w:t>中外合资</w:t>
            </w:r>
            <w:r>
              <w:rPr>
                <w:rFonts w:hint="eastAsia" w:cs="Times New Roman"/>
                <w:lang w:eastAsia="zh-CN"/>
              </w:rPr>
              <w:t>□</w:t>
            </w:r>
            <w:r>
              <w:rPr>
                <w:rFonts w:hint="default" w:cs="Times New Roman"/>
              </w:rPr>
              <w:t>港澳台</w:t>
            </w:r>
            <w:r>
              <w:rPr>
                <w:rFonts w:hint="eastAsia" w:cs="Times New Roman"/>
                <w:lang w:eastAsia="zh-CN"/>
              </w:rPr>
              <w:t>□</w:t>
            </w:r>
            <w:r>
              <w:rPr>
                <w:rFonts w:hint="default" w:cs="Times New Roman"/>
              </w:rPr>
              <w:t>外商独资</w:t>
            </w:r>
          </w:p>
        </w:tc>
      </w:tr>
      <w:tr w14:paraId="5524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799A09D4">
            <w:pPr>
              <w:pStyle w:val="8"/>
              <w:widowControl/>
              <w:spacing w:line="320" w:lineRule="exact"/>
              <w:jc w:val="center"/>
              <w:rPr>
                <w:rFonts w:hint="default"/>
              </w:rPr>
            </w:pPr>
            <w:r>
              <w:rPr>
                <w:rFonts w:hint="default"/>
              </w:rPr>
              <w:t>统一社会</w:t>
            </w:r>
          </w:p>
          <w:p w14:paraId="26315830">
            <w:pPr>
              <w:pStyle w:val="8"/>
              <w:widowControl/>
              <w:spacing w:line="320" w:lineRule="exact"/>
              <w:ind w:firstLine="0" w:firstLineChars="0"/>
              <w:jc w:val="center"/>
              <w:rPr>
                <w:rFonts w:hint="default"/>
                <w:lang w:eastAsia="zh-CN"/>
              </w:rPr>
            </w:pPr>
            <w:r>
              <w:rPr>
                <w:rFonts w:hint="default"/>
              </w:rPr>
              <w:t>信用代码</w:t>
            </w:r>
          </w:p>
        </w:tc>
        <w:tc>
          <w:tcPr>
            <w:tcW w:w="1294" w:type="pct"/>
            <w:noWrap w:val="0"/>
            <w:vAlign w:val="center"/>
          </w:tcPr>
          <w:p w14:paraId="4D502575">
            <w:pPr>
              <w:pStyle w:val="8"/>
              <w:widowControl/>
              <w:spacing w:line="320" w:lineRule="exact"/>
              <w:ind w:firstLine="480" w:firstLineChars="200"/>
              <w:jc w:val="center"/>
              <w:rPr>
                <w:rFonts w:hint="default"/>
              </w:rPr>
            </w:pPr>
          </w:p>
        </w:tc>
        <w:tc>
          <w:tcPr>
            <w:tcW w:w="1294" w:type="pct"/>
            <w:gridSpan w:val="3"/>
            <w:noWrap w:val="0"/>
            <w:vAlign w:val="center"/>
          </w:tcPr>
          <w:p w14:paraId="43E4106D">
            <w:pPr>
              <w:pStyle w:val="8"/>
              <w:widowControl/>
              <w:spacing w:line="320" w:lineRule="exact"/>
              <w:ind w:firstLine="0" w:firstLineChars="0"/>
              <w:jc w:val="center"/>
              <w:rPr>
                <w:rFonts w:hint="default"/>
              </w:rPr>
            </w:pPr>
            <w:r>
              <w:rPr>
                <w:rFonts w:hint="default"/>
              </w:rPr>
              <w:t>法定代表人</w:t>
            </w:r>
          </w:p>
        </w:tc>
        <w:tc>
          <w:tcPr>
            <w:tcW w:w="1298" w:type="pct"/>
            <w:noWrap w:val="0"/>
            <w:vAlign w:val="center"/>
          </w:tcPr>
          <w:p w14:paraId="6AA69C58">
            <w:pPr>
              <w:pStyle w:val="8"/>
              <w:widowControl/>
              <w:spacing w:line="320" w:lineRule="exact"/>
              <w:ind w:firstLine="480" w:firstLineChars="200"/>
              <w:jc w:val="left"/>
              <w:rPr>
                <w:rFonts w:hint="default"/>
              </w:rPr>
            </w:pPr>
          </w:p>
        </w:tc>
      </w:tr>
      <w:tr w14:paraId="1A3E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6A5B9276">
            <w:pPr>
              <w:pStyle w:val="8"/>
              <w:widowControl/>
              <w:spacing w:line="320" w:lineRule="exact"/>
              <w:jc w:val="center"/>
              <w:rPr>
                <w:rFonts w:hint="default"/>
              </w:rPr>
            </w:pPr>
            <w:r>
              <w:rPr>
                <w:rFonts w:hint="default"/>
              </w:rPr>
              <w:t>申报工作</w:t>
            </w:r>
          </w:p>
          <w:p w14:paraId="0CB9477F">
            <w:pPr>
              <w:pStyle w:val="8"/>
              <w:widowControl/>
              <w:spacing w:line="320" w:lineRule="exact"/>
              <w:ind w:firstLine="0" w:firstLineChars="0"/>
              <w:jc w:val="center"/>
              <w:rPr>
                <w:rFonts w:hint="default"/>
                <w:lang w:eastAsia="zh-CN"/>
              </w:rPr>
            </w:pPr>
            <w:r>
              <w:rPr>
                <w:rFonts w:hint="default"/>
              </w:rPr>
              <w:t>联系部门</w:t>
            </w:r>
          </w:p>
        </w:tc>
        <w:tc>
          <w:tcPr>
            <w:tcW w:w="1294" w:type="pct"/>
            <w:noWrap w:val="0"/>
            <w:vAlign w:val="center"/>
          </w:tcPr>
          <w:p w14:paraId="5296A39A">
            <w:pPr>
              <w:pStyle w:val="8"/>
              <w:widowControl/>
              <w:spacing w:line="320" w:lineRule="exact"/>
              <w:ind w:firstLine="480" w:firstLineChars="200"/>
              <w:jc w:val="left"/>
              <w:rPr>
                <w:rFonts w:hint="default"/>
              </w:rPr>
            </w:pPr>
          </w:p>
        </w:tc>
        <w:tc>
          <w:tcPr>
            <w:tcW w:w="1294" w:type="pct"/>
            <w:gridSpan w:val="3"/>
            <w:noWrap w:val="0"/>
            <w:vAlign w:val="center"/>
          </w:tcPr>
          <w:p w14:paraId="42DE3D41">
            <w:pPr>
              <w:pStyle w:val="8"/>
              <w:widowControl/>
              <w:spacing w:line="320" w:lineRule="exact"/>
              <w:ind w:firstLine="0" w:firstLineChars="0"/>
              <w:jc w:val="center"/>
              <w:rPr>
                <w:rFonts w:hint="default"/>
              </w:rPr>
            </w:pPr>
            <w:r>
              <w:rPr>
                <w:rFonts w:hint="default"/>
              </w:rPr>
              <w:t>联系人</w:t>
            </w:r>
          </w:p>
        </w:tc>
        <w:tc>
          <w:tcPr>
            <w:tcW w:w="1298" w:type="pct"/>
            <w:noWrap w:val="0"/>
            <w:vAlign w:val="center"/>
          </w:tcPr>
          <w:p w14:paraId="03138700">
            <w:pPr>
              <w:pStyle w:val="8"/>
              <w:widowControl/>
              <w:spacing w:line="320" w:lineRule="exact"/>
              <w:ind w:firstLine="480" w:firstLineChars="200"/>
              <w:jc w:val="left"/>
              <w:rPr>
                <w:rFonts w:hint="default"/>
              </w:rPr>
            </w:pPr>
          </w:p>
        </w:tc>
      </w:tr>
      <w:tr w14:paraId="09AD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60E60379">
            <w:pPr>
              <w:pStyle w:val="8"/>
              <w:widowControl/>
              <w:spacing w:line="320" w:lineRule="exact"/>
              <w:ind w:firstLine="0" w:firstLineChars="0"/>
              <w:jc w:val="center"/>
              <w:rPr>
                <w:rFonts w:hint="default"/>
                <w:lang w:eastAsia="zh-CN"/>
              </w:rPr>
            </w:pPr>
            <w:r>
              <w:rPr>
                <w:rFonts w:hint="default"/>
              </w:rPr>
              <w:t>联系电话</w:t>
            </w:r>
          </w:p>
        </w:tc>
        <w:tc>
          <w:tcPr>
            <w:tcW w:w="1294" w:type="pct"/>
            <w:noWrap w:val="0"/>
            <w:vAlign w:val="center"/>
          </w:tcPr>
          <w:p w14:paraId="3CDD446B">
            <w:pPr>
              <w:pStyle w:val="8"/>
              <w:widowControl/>
              <w:spacing w:line="320" w:lineRule="exact"/>
              <w:ind w:firstLine="480" w:firstLineChars="200"/>
              <w:jc w:val="left"/>
              <w:rPr>
                <w:rFonts w:hint="default"/>
              </w:rPr>
            </w:pPr>
          </w:p>
        </w:tc>
        <w:tc>
          <w:tcPr>
            <w:tcW w:w="1294" w:type="pct"/>
            <w:gridSpan w:val="3"/>
            <w:noWrap w:val="0"/>
            <w:vAlign w:val="center"/>
          </w:tcPr>
          <w:p w14:paraId="000592D2">
            <w:pPr>
              <w:pStyle w:val="8"/>
              <w:widowControl/>
              <w:spacing w:line="320" w:lineRule="exact"/>
              <w:ind w:firstLine="0" w:firstLineChars="0"/>
              <w:jc w:val="center"/>
              <w:rPr>
                <w:rFonts w:hint="default"/>
              </w:rPr>
            </w:pPr>
            <w:r>
              <w:rPr>
                <w:rFonts w:hint="default"/>
              </w:rPr>
              <w:t>电子邮箱</w:t>
            </w:r>
          </w:p>
        </w:tc>
        <w:tc>
          <w:tcPr>
            <w:tcW w:w="1298" w:type="pct"/>
            <w:noWrap w:val="0"/>
            <w:vAlign w:val="center"/>
          </w:tcPr>
          <w:p w14:paraId="3251C938">
            <w:pPr>
              <w:pStyle w:val="8"/>
              <w:widowControl/>
              <w:spacing w:line="320" w:lineRule="exact"/>
              <w:ind w:firstLine="480" w:firstLineChars="200"/>
              <w:jc w:val="left"/>
              <w:rPr>
                <w:rFonts w:hint="default"/>
              </w:rPr>
            </w:pPr>
          </w:p>
        </w:tc>
      </w:tr>
      <w:tr w14:paraId="3210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5000" w:type="pct"/>
            <w:gridSpan w:val="6"/>
            <w:noWrap w:val="0"/>
            <w:vAlign w:val="center"/>
          </w:tcPr>
          <w:p w14:paraId="6655F52D">
            <w:pPr>
              <w:pStyle w:val="8"/>
              <w:bidi w:val="0"/>
              <w:spacing w:line="320" w:lineRule="exact"/>
              <w:jc w:val="both"/>
              <w:rPr>
                <w:rFonts w:hint="default" w:cs="Times New Roman"/>
                <w:b/>
                <w:bCs/>
              </w:rPr>
            </w:pPr>
            <w:r>
              <w:rPr>
                <w:rFonts w:hint="default" w:cs="Times New Roman"/>
                <w:b/>
                <w:bCs/>
              </w:rPr>
              <w:t>二、第三方机构信息</w:t>
            </w:r>
          </w:p>
        </w:tc>
      </w:tr>
      <w:tr w14:paraId="152F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395ABEA8">
            <w:pPr>
              <w:pStyle w:val="8"/>
              <w:bidi w:val="0"/>
              <w:spacing w:line="320" w:lineRule="exact"/>
              <w:rPr>
                <w:rFonts w:hint="default" w:cs="Times New Roman"/>
              </w:rPr>
            </w:pPr>
            <w:r>
              <w:rPr>
                <w:rFonts w:hint="default" w:cs="Times New Roman"/>
              </w:rPr>
              <w:t>第三方机构名称</w:t>
            </w:r>
          </w:p>
        </w:tc>
        <w:tc>
          <w:tcPr>
            <w:tcW w:w="3887" w:type="pct"/>
            <w:gridSpan w:val="5"/>
            <w:noWrap w:val="0"/>
            <w:vAlign w:val="center"/>
          </w:tcPr>
          <w:p w14:paraId="2344C057">
            <w:pPr>
              <w:pStyle w:val="8"/>
              <w:bidi w:val="0"/>
              <w:spacing w:line="320" w:lineRule="exact"/>
              <w:rPr>
                <w:rFonts w:hint="default" w:cs="Times New Roman"/>
              </w:rPr>
            </w:pPr>
          </w:p>
        </w:tc>
      </w:tr>
      <w:tr w14:paraId="31BA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1C50B16D">
            <w:pPr>
              <w:pStyle w:val="8"/>
              <w:bidi w:val="0"/>
              <w:spacing w:line="320" w:lineRule="exact"/>
              <w:rPr>
                <w:rFonts w:hint="default" w:cs="Times New Roman"/>
              </w:rPr>
            </w:pPr>
            <w:r>
              <w:rPr>
                <w:rFonts w:hint="default" w:cs="Times New Roman"/>
              </w:rPr>
              <w:t>第三方机构地址</w:t>
            </w:r>
          </w:p>
        </w:tc>
        <w:tc>
          <w:tcPr>
            <w:tcW w:w="3887" w:type="pct"/>
            <w:gridSpan w:val="5"/>
            <w:noWrap w:val="0"/>
            <w:vAlign w:val="center"/>
          </w:tcPr>
          <w:p w14:paraId="08DC109A">
            <w:pPr>
              <w:pStyle w:val="8"/>
              <w:bidi w:val="0"/>
              <w:spacing w:line="320" w:lineRule="exact"/>
              <w:rPr>
                <w:rFonts w:hint="default" w:cs="Times New Roman"/>
              </w:rPr>
            </w:pPr>
          </w:p>
        </w:tc>
      </w:tr>
      <w:tr w14:paraId="66CD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5B54EB86">
            <w:pPr>
              <w:pStyle w:val="8"/>
              <w:bidi w:val="0"/>
              <w:spacing w:line="320" w:lineRule="exact"/>
              <w:rPr>
                <w:rFonts w:hint="default" w:cs="Times New Roman"/>
              </w:rPr>
            </w:pPr>
            <w:r>
              <w:rPr>
                <w:rFonts w:hint="default" w:cs="Times New Roman"/>
              </w:rPr>
              <w:t>机构法定代表人</w:t>
            </w:r>
          </w:p>
        </w:tc>
        <w:tc>
          <w:tcPr>
            <w:tcW w:w="1526" w:type="pct"/>
            <w:gridSpan w:val="2"/>
            <w:noWrap w:val="0"/>
            <w:vAlign w:val="center"/>
          </w:tcPr>
          <w:p w14:paraId="513DB6B1">
            <w:pPr>
              <w:pStyle w:val="8"/>
              <w:bidi w:val="0"/>
              <w:spacing w:line="320" w:lineRule="exact"/>
              <w:rPr>
                <w:rFonts w:hint="default" w:cs="Times New Roman"/>
              </w:rPr>
            </w:pPr>
          </w:p>
        </w:tc>
        <w:tc>
          <w:tcPr>
            <w:tcW w:w="1062" w:type="pct"/>
            <w:gridSpan w:val="2"/>
            <w:noWrap w:val="0"/>
            <w:vAlign w:val="center"/>
          </w:tcPr>
          <w:p w14:paraId="503FE690">
            <w:pPr>
              <w:pStyle w:val="8"/>
              <w:bidi w:val="0"/>
              <w:spacing w:line="320" w:lineRule="exact"/>
              <w:rPr>
                <w:rFonts w:hint="default" w:cs="Times New Roman"/>
              </w:rPr>
            </w:pPr>
            <w:r>
              <w:rPr>
                <w:rFonts w:hint="default" w:cs="Times New Roman"/>
              </w:rPr>
              <w:t>法定代表人电话</w:t>
            </w:r>
          </w:p>
        </w:tc>
        <w:tc>
          <w:tcPr>
            <w:tcW w:w="1298" w:type="pct"/>
            <w:noWrap w:val="0"/>
            <w:vAlign w:val="center"/>
          </w:tcPr>
          <w:p w14:paraId="67A427FB">
            <w:pPr>
              <w:pStyle w:val="8"/>
              <w:bidi w:val="0"/>
              <w:spacing w:line="320" w:lineRule="exact"/>
              <w:rPr>
                <w:rFonts w:hint="default" w:cs="Times New Roman"/>
              </w:rPr>
            </w:pPr>
          </w:p>
        </w:tc>
      </w:tr>
      <w:tr w14:paraId="23E4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2A16A049">
            <w:pPr>
              <w:pStyle w:val="8"/>
              <w:bidi w:val="0"/>
              <w:spacing w:line="320" w:lineRule="exact"/>
              <w:rPr>
                <w:rFonts w:hint="default" w:cs="Times New Roman"/>
              </w:rPr>
            </w:pPr>
            <w:r>
              <w:rPr>
                <w:rFonts w:hint="default" w:cs="Times New Roman"/>
              </w:rPr>
              <w:t>机构联系人</w:t>
            </w:r>
          </w:p>
        </w:tc>
        <w:tc>
          <w:tcPr>
            <w:tcW w:w="1526" w:type="pct"/>
            <w:gridSpan w:val="2"/>
            <w:noWrap w:val="0"/>
            <w:vAlign w:val="center"/>
          </w:tcPr>
          <w:p w14:paraId="2429C917">
            <w:pPr>
              <w:pStyle w:val="8"/>
              <w:bidi w:val="0"/>
              <w:spacing w:line="320" w:lineRule="exact"/>
              <w:rPr>
                <w:rFonts w:hint="default" w:cs="Times New Roman"/>
              </w:rPr>
            </w:pPr>
          </w:p>
        </w:tc>
        <w:tc>
          <w:tcPr>
            <w:tcW w:w="1062" w:type="pct"/>
            <w:gridSpan w:val="2"/>
            <w:noWrap w:val="0"/>
            <w:vAlign w:val="center"/>
          </w:tcPr>
          <w:p w14:paraId="5A182621">
            <w:pPr>
              <w:pStyle w:val="8"/>
              <w:bidi w:val="0"/>
              <w:spacing w:line="320" w:lineRule="exact"/>
              <w:rPr>
                <w:rFonts w:hint="default" w:cs="Times New Roman"/>
              </w:rPr>
            </w:pPr>
            <w:r>
              <w:rPr>
                <w:rFonts w:hint="default" w:cs="Times New Roman"/>
              </w:rPr>
              <w:t>联系人电话</w:t>
            </w:r>
          </w:p>
        </w:tc>
        <w:tc>
          <w:tcPr>
            <w:tcW w:w="1298" w:type="pct"/>
            <w:noWrap w:val="0"/>
            <w:vAlign w:val="center"/>
          </w:tcPr>
          <w:p w14:paraId="228E4AFA">
            <w:pPr>
              <w:pStyle w:val="8"/>
              <w:bidi w:val="0"/>
              <w:spacing w:line="320" w:lineRule="exact"/>
              <w:rPr>
                <w:rFonts w:hint="default" w:cs="Times New Roman"/>
              </w:rPr>
            </w:pPr>
          </w:p>
        </w:tc>
      </w:tr>
      <w:tr w14:paraId="247B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06FD275E">
            <w:pPr>
              <w:pStyle w:val="8"/>
              <w:bidi w:val="0"/>
              <w:spacing w:line="320" w:lineRule="exact"/>
              <w:rPr>
                <w:rFonts w:hint="default" w:cs="Times New Roman"/>
              </w:rPr>
            </w:pPr>
            <w:r>
              <w:rPr>
                <w:rFonts w:hint="default" w:cs="Times New Roman"/>
              </w:rPr>
              <w:t>报告编制负责人</w:t>
            </w:r>
          </w:p>
        </w:tc>
        <w:tc>
          <w:tcPr>
            <w:tcW w:w="1526" w:type="pct"/>
            <w:gridSpan w:val="2"/>
            <w:noWrap w:val="0"/>
            <w:vAlign w:val="center"/>
          </w:tcPr>
          <w:p w14:paraId="02391FB5">
            <w:pPr>
              <w:pStyle w:val="8"/>
              <w:bidi w:val="0"/>
              <w:spacing w:line="320" w:lineRule="exact"/>
              <w:rPr>
                <w:rFonts w:hint="default" w:cs="Times New Roman"/>
              </w:rPr>
            </w:pPr>
          </w:p>
        </w:tc>
        <w:tc>
          <w:tcPr>
            <w:tcW w:w="1062" w:type="pct"/>
            <w:gridSpan w:val="2"/>
            <w:noWrap w:val="0"/>
            <w:vAlign w:val="center"/>
          </w:tcPr>
          <w:p w14:paraId="6D85899A">
            <w:pPr>
              <w:pStyle w:val="8"/>
              <w:bidi w:val="0"/>
              <w:spacing w:line="320" w:lineRule="exact"/>
              <w:rPr>
                <w:rFonts w:hint="default" w:cs="Times New Roman"/>
              </w:rPr>
            </w:pPr>
            <w:r>
              <w:rPr>
                <w:rFonts w:hint="default" w:cs="Times New Roman"/>
              </w:rPr>
              <w:t>负责人电话</w:t>
            </w:r>
          </w:p>
        </w:tc>
        <w:tc>
          <w:tcPr>
            <w:tcW w:w="1298" w:type="pct"/>
            <w:noWrap w:val="0"/>
            <w:vAlign w:val="center"/>
          </w:tcPr>
          <w:p w14:paraId="6F9840FB">
            <w:pPr>
              <w:pStyle w:val="8"/>
              <w:bidi w:val="0"/>
              <w:spacing w:line="320" w:lineRule="exact"/>
              <w:rPr>
                <w:rFonts w:hint="default" w:cs="Times New Roman"/>
              </w:rPr>
            </w:pPr>
          </w:p>
        </w:tc>
      </w:tr>
      <w:tr w14:paraId="2183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5000" w:type="pct"/>
            <w:gridSpan w:val="6"/>
            <w:noWrap w:val="0"/>
            <w:vAlign w:val="center"/>
          </w:tcPr>
          <w:p w14:paraId="70F0D0D9">
            <w:pPr>
              <w:pStyle w:val="8"/>
              <w:bidi w:val="0"/>
              <w:spacing w:line="320" w:lineRule="exact"/>
              <w:jc w:val="both"/>
              <w:rPr>
                <w:rFonts w:hint="default" w:cs="Times New Roman"/>
              </w:rPr>
            </w:pPr>
            <w:r>
              <w:rPr>
                <w:rFonts w:hint="default" w:cs="Times New Roman"/>
                <w:b/>
                <w:bCs/>
              </w:rPr>
              <w:t>三、绿色工厂评价结果</w:t>
            </w:r>
          </w:p>
        </w:tc>
      </w:tr>
      <w:tr w14:paraId="6BDF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2" w:type="pct"/>
            <w:noWrap w:val="0"/>
            <w:vAlign w:val="center"/>
          </w:tcPr>
          <w:p w14:paraId="7B25C01C">
            <w:pPr>
              <w:pStyle w:val="8"/>
              <w:bidi w:val="0"/>
              <w:spacing w:line="320" w:lineRule="exact"/>
              <w:rPr>
                <w:rFonts w:hint="default" w:cs="Times New Roman"/>
              </w:rPr>
            </w:pPr>
            <w:r>
              <w:rPr>
                <w:rFonts w:hint="default" w:cs="Times New Roman"/>
                <w:lang w:eastAsia="zh-CN"/>
              </w:rPr>
              <w:t>基本</w:t>
            </w:r>
            <w:r>
              <w:rPr>
                <w:rFonts w:hint="default" w:cs="Times New Roman"/>
              </w:rPr>
              <w:t>要求</w:t>
            </w:r>
          </w:p>
        </w:tc>
        <w:tc>
          <w:tcPr>
            <w:tcW w:w="1526" w:type="pct"/>
            <w:gridSpan w:val="2"/>
            <w:noWrap w:val="0"/>
            <w:vAlign w:val="center"/>
          </w:tcPr>
          <w:p w14:paraId="372598C9">
            <w:pPr>
              <w:pStyle w:val="8"/>
              <w:bidi w:val="0"/>
              <w:spacing w:line="320" w:lineRule="exact"/>
              <w:rPr>
                <w:rFonts w:hint="default" w:cs="Times New Roman"/>
              </w:rPr>
            </w:pPr>
            <w:r>
              <w:rPr>
                <w:rFonts w:hint="eastAsia" w:cs="Times New Roman"/>
                <w:lang w:eastAsia="zh-CN"/>
              </w:rPr>
              <w:t>□</w:t>
            </w:r>
            <w:r>
              <w:rPr>
                <w:rFonts w:hint="default" w:cs="Times New Roman"/>
              </w:rPr>
              <w:t xml:space="preserve">符合  </w:t>
            </w:r>
            <w:r>
              <w:rPr>
                <w:rFonts w:hint="eastAsia" w:cs="Times New Roman"/>
                <w:lang w:eastAsia="zh-CN"/>
              </w:rPr>
              <w:t>□</w:t>
            </w:r>
            <w:r>
              <w:rPr>
                <w:rFonts w:hint="default" w:cs="Times New Roman"/>
              </w:rPr>
              <w:t>不符合</w:t>
            </w:r>
          </w:p>
        </w:tc>
        <w:tc>
          <w:tcPr>
            <w:tcW w:w="995" w:type="pct"/>
            <w:noWrap w:val="0"/>
            <w:vAlign w:val="center"/>
          </w:tcPr>
          <w:p w14:paraId="4C40A20F">
            <w:pPr>
              <w:pStyle w:val="8"/>
              <w:bidi w:val="0"/>
              <w:spacing w:line="320" w:lineRule="exact"/>
              <w:rPr>
                <w:rFonts w:hint="default" w:cs="Times New Roman"/>
              </w:rPr>
            </w:pPr>
            <w:r>
              <w:rPr>
                <w:rFonts w:hint="default" w:cs="Times New Roman"/>
              </w:rPr>
              <w:t>指标</w:t>
            </w:r>
            <w:r>
              <w:rPr>
                <w:rFonts w:hint="default" w:cs="Times New Roman"/>
                <w:lang w:eastAsia="zh-CN"/>
              </w:rPr>
              <w:t>得分</w:t>
            </w:r>
          </w:p>
        </w:tc>
        <w:tc>
          <w:tcPr>
            <w:tcW w:w="1365" w:type="pct"/>
            <w:gridSpan w:val="2"/>
            <w:noWrap w:val="0"/>
            <w:vAlign w:val="center"/>
          </w:tcPr>
          <w:p w14:paraId="5F1C1C1D">
            <w:pPr>
              <w:pStyle w:val="8"/>
              <w:bidi w:val="0"/>
              <w:spacing w:line="320" w:lineRule="exact"/>
              <w:rPr>
                <w:rFonts w:hint="default" w:cs="Times New Roman"/>
              </w:rPr>
            </w:pPr>
          </w:p>
        </w:tc>
      </w:tr>
      <w:tr w14:paraId="4DAA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112" w:type="pct"/>
            <w:noWrap w:val="0"/>
            <w:vAlign w:val="center"/>
          </w:tcPr>
          <w:p w14:paraId="2309C618">
            <w:pPr>
              <w:pStyle w:val="8"/>
              <w:bidi w:val="0"/>
              <w:spacing w:line="320" w:lineRule="exact"/>
              <w:rPr>
                <w:rFonts w:hint="default" w:cs="Times New Roman"/>
                <w:lang w:val="en-US" w:eastAsia="zh-CN"/>
              </w:rPr>
            </w:pPr>
            <w:r>
              <w:rPr>
                <w:rFonts w:hint="default" w:cs="Times New Roman"/>
                <w:lang w:val="en-US" w:eastAsia="zh-CN"/>
              </w:rPr>
              <w:t>受评价方主要</w:t>
            </w:r>
          </w:p>
          <w:p w14:paraId="09A8394B">
            <w:pPr>
              <w:pStyle w:val="8"/>
              <w:bidi w:val="0"/>
              <w:spacing w:line="320" w:lineRule="exact"/>
              <w:rPr>
                <w:rFonts w:hint="default" w:cs="Times New Roman"/>
                <w:lang w:val="en-US" w:eastAsia="zh-CN"/>
              </w:rPr>
            </w:pPr>
            <w:r>
              <w:rPr>
                <w:rFonts w:hint="default" w:cs="Times New Roman"/>
                <w:lang w:val="en-US" w:eastAsia="zh-CN"/>
              </w:rPr>
              <w:t>亮点</w:t>
            </w:r>
          </w:p>
        </w:tc>
        <w:tc>
          <w:tcPr>
            <w:tcW w:w="3887" w:type="pct"/>
            <w:gridSpan w:val="5"/>
            <w:noWrap w:val="0"/>
            <w:vAlign w:val="center"/>
          </w:tcPr>
          <w:p w14:paraId="52D354E1">
            <w:pPr>
              <w:pStyle w:val="8"/>
              <w:bidi w:val="0"/>
              <w:spacing w:line="320" w:lineRule="exact"/>
              <w:rPr>
                <w:rFonts w:hint="default" w:cs="Times New Roman"/>
                <w:lang w:val="en-US" w:eastAsia="zh-CN"/>
              </w:rPr>
            </w:pPr>
            <w:r>
              <w:rPr>
                <w:rFonts w:hint="default" w:cs="Times New Roman"/>
                <w:lang w:eastAsia="zh-CN"/>
              </w:rPr>
              <w:t>（</w:t>
            </w:r>
            <w:r>
              <w:rPr>
                <w:rFonts w:hint="default" w:cs="Times New Roman"/>
                <w:lang w:val="en-US" w:eastAsia="zh-CN"/>
              </w:rPr>
              <w:t>请在100字以内概述受评价方主要亮点）</w:t>
            </w:r>
          </w:p>
        </w:tc>
      </w:tr>
      <w:tr w14:paraId="7ACF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6"/>
            <w:noWrap w:val="0"/>
            <w:vAlign w:val="center"/>
          </w:tcPr>
          <w:p w14:paraId="5044FD01">
            <w:pPr>
              <w:pStyle w:val="8"/>
              <w:bidi w:val="0"/>
              <w:spacing w:line="320" w:lineRule="exact"/>
              <w:ind w:firstLine="480" w:firstLineChars="200"/>
              <w:jc w:val="left"/>
              <w:rPr>
                <w:rFonts w:hint="default" w:cs="Times New Roman"/>
              </w:rPr>
            </w:pPr>
            <w:r>
              <w:rPr>
                <w:rFonts w:hint="default" w:cs="Times New Roman"/>
              </w:rPr>
              <w:t>本机构承诺，已</w:t>
            </w:r>
            <w:r>
              <w:rPr>
                <w:rFonts w:hint="default" w:cs="Times New Roman"/>
                <w:lang w:val="en-US" w:eastAsia="zh-CN"/>
              </w:rPr>
              <w:t>按规范完整的评价程序对受评价方</w:t>
            </w:r>
            <w:r>
              <w:rPr>
                <w:rFonts w:hint="default" w:cs="Times New Roman"/>
              </w:rPr>
              <w:t>进行了全面</w:t>
            </w:r>
            <w:r>
              <w:rPr>
                <w:rFonts w:hint="default" w:cs="Times New Roman"/>
                <w:lang w:val="en-US" w:eastAsia="zh-CN"/>
              </w:rPr>
              <w:t>的评价</w:t>
            </w:r>
            <w:r>
              <w:rPr>
                <w:rFonts w:hint="default" w:cs="Times New Roman"/>
              </w:rPr>
              <w:t>，</w:t>
            </w:r>
            <w:r>
              <w:rPr>
                <w:rFonts w:hint="default" w:cs="Times New Roman"/>
                <w:lang w:val="en-US" w:eastAsia="zh-CN"/>
              </w:rPr>
              <w:t>受评价方提交的</w:t>
            </w:r>
            <w:r>
              <w:rPr>
                <w:rFonts w:hint="default" w:cs="Times New Roman"/>
              </w:rPr>
              <w:t>材料真实有效，</w:t>
            </w:r>
            <w:r>
              <w:rPr>
                <w:rFonts w:hint="default" w:cs="Times New Roman"/>
                <w:lang w:val="en-US" w:eastAsia="zh-CN"/>
              </w:rPr>
              <w:t>本评价报告</w:t>
            </w:r>
            <w:r>
              <w:rPr>
                <w:rFonts w:hint="default" w:cs="Times New Roman"/>
              </w:rPr>
              <w:t>客观公正</w:t>
            </w:r>
            <w:r>
              <w:rPr>
                <w:rFonts w:hint="default" w:cs="Times New Roman"/>
                <w:lang w:eastAsia="zh-CN"/>
              </w:rPr>
              <w:t>，</w:t>
            </w:r>
            <w:r>
              <w:rPr>
                <w:rFonts w:hint="default" w:cs="Times New Roman"/>
                <w:lang w:val="en-US" w:eastAsia="zh-CN"/>
              </w:rPr>
              <w:t>结论证据充分，真实、准确的反映了评价过程的发现，严谨的出具结论</w:t>
            </w:r>
            <w:r>
              <w:rPr>
                <w:rFonts w:hint="default" w:cs="Times New Roman"/>
              </w:rPr>
              <w:t>。</w:t>
            </w:r>
            <w:r>
              <w:rPr>
                <w:rFonts w:hint="default" w:cs="Times New Roman"/>
                <w:lang w:val="en-US" w:eastAsia="zh-CN"/>
              </w:rPr>
              <w:t>本机构已充分了解评价报告的严肃性，</w:t>
            </w:r>
            <w:r>
              <w:rPr>
                <w:rFonts w:hint="default" w:cs="Times New Roman"/>
              </w:rPr>
              <w:t>评价过程</w:t>
            </w:r>
            <w:r>
              <w:rPr>
                <w:rFonts w:hint="default" w:cs="Times New Roman"/>
                <w:lang w:val="en-US" w:eastAsia="zh-CN"/>
              </w:rPr>
              <w:t>若</w:t>
            </w:r>
            <w:r>
              <w:rPr>
                <w:rFonts w:hint="default" w:cs="Times New Roman"/>
              </w:rPr>
              <w:t>存在弄虚作假或故意隐瞒受评价方问题，本机构愿承担</w:t>
            </w:r>
            <w:r>
              <w:rPr>
                <w:rFonts w:hint="default" w:cs="Times New Roman"/>
                <w:lang w:val="en-US" w:eastAsia="zh-CN"/>
              </w:rPr>
              <w:t>所有</w:t>
            </w:r>
            <w:r>
              <w:rPr>
                <w:rFonts w:hint="default" w:cs="Times New Roman"/>
              </w:rPr>
              <w:t>责任。</w:t>
            </w:r>
          </w:p>
          <w:p w14:paraId="02896664">
            <w:pPr>
              <w:pStyle w:val="8"/>
              <w:bidi w:val="0"/>
              <w:spacing w:line="320" w:lineRule="exact"/>
              <w:rPr>
                <w:rFonts w:hint="default" w:cs="Times New Roman"/>
              </w:rPr>
            </w:pPr>
          </w:p>
          <w:p w14:paraId="6472DB49">
            <w:pPr>
              <w:pStyle w:val="8"/>
              <w:bidi w:val="0"/>
              <w:spacing w:line="320" w:lineRule="exact"/>
              <w:rPr>
                <w:rFonts w:hint="default" w:cs="Times New Roman"/>
              </w:rPr>
            </w:pPr>
            <w:r>
              <w:rPr>
                <w:rFonts w:hint="default" w:cs="Times New Roman"/>
                <w:lang w:val="en-US" w:eastAsia="zh-CN"/>
              </w:rPr>
              <w:t>法人代表</w:t>
            </w:r>
            <w:r>
              <w:rPr>
                <w:rFonts w:hint="default" w:cs="Times New Roman"/>
              </w:rPr>
              <w:t xml:space="preserve">签字：             </w:t>
            </w:r>
          </w:p>
          <w:p w14:paraId="3CF6595F">
            <w:pPr>
              <w:pStyle w:val="8"/>
              <w:bidi w:val="0"/>
              <w:spacing w:line="320" w:lineRule="exact"/>
              <w:rPr>
                <w:rFonts w:hint="default" w:cs="Times New Roman"/>
              </w:rPr>
            </w:pPr>
            <w:r>
              <w:rPr>
                <w:rFonts w:hint="default" w:cs="Times New Roman"/>
              </w:rPr>
              <w:t xml:space="preserve">（单位公章）               </w:t>
            </w:r>
          </w:p>
        </w:tc>
      </w:tr>
    </w:tbl>
    <w:p w14:paraId="517517FA">
      <w:pPr>
        <w:bidi w:val="0"/>
        <w:spacing w:line="240" w:lineRule="auto"/>
        <w:ind w:left="0" w:leftChars="0" w:firstLine="0" w:firstLineChars="0"/>
        <w:jc w:val="center"/>
        <w:rPr>
          <w:rFonts w:hint="default" w:ascii="Times New Roman" w:hAnsi="Times New Roman" w:eastAsia="黑体" w:cs="Times New Roman"/>
          <w:bCs/>
          <w:color w:val="000000"/>
          <w:sz w:val="32"/>
          <w:szCs w:val="32"/>
          <w:highlight w:val="none"/>
        </w:rPr>
      </w:pPr>
      <w:r>
        <w:rPr>
          <w:rFonts w:hint="default"/>
        </w:rPr>
        <w:br w:type="page"/>
      </w:r>
      <w:r>
        <w:rPr>
          <w:rFonts w:hint="default" w:ascii="Times New Roman" w:hAnsi="Times New Roman" w:eastAsia="黑体" w:cs="Times New Roman"/>
          <w:sz w:val="32"/>
          <w:szCs w:val="32"/>
        </w:rPr>
        <w:t>绿色工厂评价报告（格式）</w:t>
      </w:r>
    </w:p>
    <w:p w14:paraId="06F9B3C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一、概述</w:t>
      </w:r>
    </w:p>
    <w:p w14:paraId="72B2F7AC">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rPr>
      </w:pPr>
      <w:r>
        <w:rPr>
          <w:rFonts w:hint="default"/>
        </w:rPr>
        <w:t>主要介绍绿色工厂评价的目的、范围及准则</w:t>
      </w:r>
      <w:r>
        <w:rPr>
          <w:rFonts w:hint="default"/>
          <w:lang w:eastAsia="zh-CN"/>
        </w:rPr>
        <w:t>，</w:t>
      </w:r>
      <w:r>
        <w:rPr>
          <w:rFonts w:hint="default"/>
          <w:lang w:val="en-US" w:eastAsia="zh-CN"/>
        </w:rPr>
        <w:t>受评价方的基本情况</w:t>
      </w:r>
      <w:r>
        <w:rPr>
          <w:rFonts w:hint="eastAsia"/>
          <w:lang w:val="en-US" w:eastAsia="zh-CN"/>
        </w:rPr>
        <w:t>（</w:t>
      </w:r>
      <w:r>
        <w:rPr>
          <w:rFonts w:hint="eastAsia"/>
        </w:rPr>
        <w:t>基本信息、发展现状、工艺产品、生产经营状况以及在绿色发展方面开展的重点工作及取得的成绩</w:t>
      </w:r>
      <w:r>
        <w:rPr>
          <w:rFonts w:hint="eastAsia"/>
          <w:lang w:eastAsia="zh-CN"/>
        </w:rPr>
        <w:t>）</w:t>
      </w:r>
      <w:r>
        <w:rPr>
          <w:rFonts w:hint="default"/>
          <w:lang w:val="en-US" w:eastAsia="zh-CN"/>
        </w:rPr>
        <w:t>等</w:t>
      </w:r>
      <w:r>
        <w:rPr>
          <w:rFonts w:hint="default"/>
        </w:rPr>
        <w:t>。</w:t>
      </w:r>
    </w:p>
    <w:p w14:paraId="1D3AC1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二、评价过程和方法</w:t>
      </w:r>
    </w:p>
    <w:p w14:paraId="583BAB26">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rPr>
      </w:pPr>
      <w:r>
        <w:rPr>
          <w:rFonts w:hint="default"/>
        </w:rPr>
        <w:t>主要介绍评价组织安排、文件评审情况、现场</w:t>
      </w:r>
      <w:r>
        <w:rPr>
          <w:rFonts w:hint="default"/>
          <w:lang w:eastAsia="zh-CN"/>
        </w:rPr>
        <w:t>评价</w:t>
      </w:r>
      <w:r>
        <w:rPr>
          <w:rFonts w:hint="default"/>
        </w:rPr>
        <w:t>情况、</w:t>
      </w:r>
      <w:r>
        <w:rPr>
          <w:rFonts w:hint="eastAsia"/>
          <w:lang w:val="en-US" w:eastAsia="zh-CN"/>
        </w:rPr>
        <w:t>评价</w:t>
      </w:r>
      <w:r>
        <w:rPr>
          <w:rFonts w:hint="default"/>
        </w:rPr>
        <w:t>报告编写及内部技术复核情况。</w:t>
      </w:r>
    </w:p>
    <w:p w14:paraId="6871804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三、评价内容</w:t>
      </w:r>
    </w:p>
    <w:p w14:paraId="409879AC">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rPr>
      </w:pPr>
      <w:r>
        <w:rPr>
          <w:rFonts w:hint="default"/>
        </w:rPr>
        <w:t>第三方</w:t>
      </w:r>
      <w:r>
        <w:rPr>
          <w:rFonts w:hint="eastAsia"/>
          <w:lang w:val="en-US" w:eastAsia="zh-CN"/>
        </w:rPr>
        <w:t>机构</w:t>
      </w:r>
      <w:r>
        <w:rPr>
          <w:rFonts w:hint="default"/>
        </w:rPr>
        <w:t>应按以下内容对工厂进行评价：</w:t>
      </w:r>
    </w:p>
    <w:p w14:paraId="1271BB72">
      <w:pPr>
        <w:keepNext w:val="0"/>
        <w:keepLines w:val="0"/>
        <w:pageBreakBefore w:val="0"/>
        <w:widowControl w:val="0"/>
        <w:kinsoku/>
        <w:wordWrap/>
        <w:overflowPunct/>
        <w:topLinePunct w:val="0"/>
        <w:autoSpaceDE/>
        <w:autoSpaceDN/>
        <w:bidi w:val="0"/>
        <w:adjustRightInd/>
        <w:snapToGrid/>
        <w:spacing w:line="520" w:lineRule="exact"/>
        <w:textAlignment w:val="auto"/>
      </w:pPr>
      <w:r>
        <w:rPr>
          <w:rFonts w:hint="default"/>
          <w:lang w:val="en-US" w:eastAsia="zh-CN"/>
        </w:rPr>
        <w:t>1.</w:t>
      </w:r>
      <w:r>
        <w:rPr>
          <w:lang w:val="en-US" w:eastAsia="zh-CN"/>
        </w:rPr>
        <w:t>对工厂是否存在《绿色工厂梯度培育及管理暂行办法》中所</w:t>
      </w:r>
      <w:r>
        <w:rPr>
          <w:rFonts w:hint="eastAsia"/>
          <w:lang w:val="en-US" w:eastAsia="zh-CN"/>
        </w:rPr>
        <w:t xml:space="preserve">列否决条件的评价情况； </w:t>
      </w:r>
    </w:p>
    <w:p w14:paraId="4920BCA8">
      <w:pPr>
        <w:keepNext w:val="0"/>
        <w:keepLines w:val="0"/>
        <w:pageBreakBefore w:val="0"/>
        <w:widowControl w:val="0"/>
        <w:kinsoku/>
        <w:wordWrap/>
        <w:overflowPunct/>
        <w:topLinePunct w:val="0"/>
        <w:autoSpaceDE/>
        <w:autoSpaceDN/>
        <w:bidi w:val="0"/>
        <w:adjustRightInd/>
        <w:snapToGrid/>
        <w:spacing w:line="520" w:lineRule="exact"/>
        <w:textAlignment w:val="auto"/>
      </w:pPr>
      <w:r>
        <w:rPr>
          <w:rFonts w:hint="default"/>
          <w:lang w:val="en-US" w:eastAsia="zh-CN"/>
        </w:rPr>
        <w:t>2.</w:t>
      </w:r>
      <w:r>
        <w:rPr>
          <w:rFonts w:hint="eastAsia"/>
          <w:lang w:val="en-US" w:eastAsia="zh-CN"/>
        </w:rPr>
        <w:t xml:space="preserve">对工厂是否符合评价标准中基本要求的评价情况； </w:t>
      </w:r>
    </w:p>
    <w:p w14:paraId="5E3E4BA9">
      <w:pPr>
        <w:keepNext w:val="0"/>
        <w:keepLines w:val="0"/>
        <w:pageBreakBefore w:val="0"/>
        <w:widowControl w:val="0"/>
        <w:kinsoku/>
        <w:wordWrap/>
        <w:overflowPunct/>
        <w:topLinePunct w:val="0"/>
        <w:autoSpaceDE/>
        <w:autoSpaceDN/>
        <w:bidi w:val="0"/>
        <w:adjustRightInd/>
        <w:snapToGrid/>
        <w:spacing w:line="520" w:lineRule="exact"/>
        <w:textAlignment w:val="auto"/>
      </w:pPr>
      <w:r>
        <w:rPr>
          <w:rFonts w:hint="default"/>
          <w:lang w:val="en-US" w:eastAsia="zh-CN"/>
        </w:rPr>
        <w:t>3.</w:t>
      </w:r>
      <w:r>
        <w:rPr>
          <w:rFonts w:hint="eastAsia"/>
          <w:lang w:val="en-US" w:eastAsia="zh-CN"/>
        </w:rPr>
        <w:t xml:space="preserve">对工厂基础设施、管理体系、能源与资源投入、产品、环境排放、绩效等方面内容的评价情况； </w:t>
      </w:r>
    </w:p>
    <w:p w14:paraId="04E17B44">
      <w:pPr>
        <w:keepNext w:val="0"/>
        <w:keepLines w:val="0"/>
        <w:pageBreakBefore w:val="0"/>
        <w:widowControl w:val="0"/>
        <w:kinsoku/>
        <w:wordWrap/>
        <w:overflowPunct/>
        <w:topLinePunct w:val="0"/>
        <w:autoSpaceDE/>
        <w:autoSpaceDN/>
        <w:bidi w:val="0"/>
        <w:adjustRightInd/>
        <w:snapToGrid/>
        <w:spacing w:line="520" w:lineRule="exact"/>
        <w:textAlignment w:val="auto"/>
      </w:pPr>
      <w:r>
        <w:rPr>
          <w:rFonts w:hint="default"/>
          <w:lang w:val="en-US" w:eastAsia="zh-CN"/>
        </w:rPr>
        <w:t>4.</w:t>
      </w:r>
      <w:r>
        <w:rPr>
          <w:rFonts w:hint="eastAsia"/>
          <w:lang w:val="en-US" w:eastAsia="zh-CN"/>
        </w:rPr>
        <w:t>工厂在“零碳”工厂创建方面开展的工作情况（加分项）。</w:t>
      </w:r>
    </w:p>
    <w:p w14:paraId="37F6F8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四、评价结论</w:t>
      </w:r>
    </w:p>
    <w:p w14:paraId="2CB88005">
      <w:pPr>
        <w:keepNext w:val="0"/>
        <w:keepLines w:val="0"/>
        <w:pageBreakBefore w:val="0"/>
        <w:widowControl w:val="0"/>
        <w:kinsoku/>
        <w:wordWrap/>
        <w:overflowPunct/>
        <w:topLinePunct w:val="0"/>
        <w:autoSpaceDE/>
        <w:autoSpaceDN/>
        <w:bidi w:val="0"/>
        <w:adjustRightInd/>
        <w:snapToGrid/>
        <w:spacing w:line="520" w:lineRule="exact"/>
        <w:textAlignment w:val="auto"/>
      </w:pPr>
      <w:r>
        <w:rPr>
          <w:lang w:val="en-US" w:eastAsia="zh-CN"/>
        </w:rPr>
        <w:t>对工厂是否符合绿色工厂要求进行总体评价，给出评价得分，</w:t>
      </w:r>
      <w:r>
        <w:rPr>
          <w:rFonts w:hint="eastAsia"/>
          <w:lang w:val="en-US" w:eastAsia="zh-CN"/>
        </w:rPr>
        <w:t>描述主要创建做法、工作亮点和仍存在的问题等。</w:t>
      </w:r>
    </w:p>
    <w:p w14:paraId="13FDD6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五、建议</w:t>
      </w:r>
    </w:p>
    <w:p w14:paraId="6DE7AB74">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rPr>
      </w:pPr>
      <w:r>
        <w:rPr>
          <w:rFonts w:hint="default"/>
        </w:rPr>
        <w:t>对工厂持续创建绿色工厂的下一步工作提出建议。</w:t>
      </w:r>
    </w:p>
    <w:p w14:paraId="6D8999D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六、参考文件</w:t>
      </w:r>
    </w:p>
    <w:p w14:paraId="5DB46D1E">
      <w:pPr>
        <w:keepNext w:val="0"/>
        <w:keepLines w:val="0"/>
        <w:pageBreakBefore w:val="0"/>
        <w:widowControl w:val="0"/>
        <w:kinsoku/>
        <w:wordWrap/>
        <w:overflowPunct/>
        <w:topLinePunct w:val="0"/>
        <w:autoSpaceDE/>
        <w:autoSpaceDN/>
        <w:bidi w:val="0"/>
        <w:adjustRightInd/>
        <w:snapToGrid/>
        <w:spacing w:line="520" w:lineRule="exact"/>
        <w:textAlignment w:val="auto"/>
      </w:pPr>
      <w:r>
        <w:rPr>
          <w:lang w:val="en-US" w:eastAsia="zh-CN"/>
        </w:rPr>
        <w:t xml:space="preserve">列出报告编写过程中所使用的相关参考文件（与附表 </w:t>
      </w:r>
      <w:r>
        <w:rPr>
          <w:rFonts w:hint="default"/>
          <w:lang w:val="en-US" w:eastAsia="zh-CN"/>
        </w:rPr>
        <w:t xml:space="preserve">1.1.1 </w:t>
      </w:r>
      <w:r>
        <w:rPr>
          <w:rFonts w:hint="eastAsia"/>
          <w:lang w:val="en-US" w:eastAsia="zh-CN"/>
        </w:rPr>
        <w:t xml:space="preserve">及附表 </w:t>
      </w:r>
      <w:r>
        <w:rPr>
          <w:rFonts w:hint="default"/>
          <w:lang w:val="en-US" w:eastAsia="zh-CN"/>
        </w:rPr>
        <w:t xml:space="preserve">1.1.2 </w:t>
      </w:r>
      <w:r>
        <w:rPr>
          <w:rFonts w:hint="eastAsia"/>
          <w:lang w:val="en-US" w:eastAsia="zh-CN"/>
        </w:rPr>
        <w:t>的证明材料索引一栏对应）。</w:t>
      </w:r>
    </w:p>
    <w:p w14:paraId="169B4354">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第三方机构资质符合性证明材料</w:t>
      </w:r>
    </w:p>
    <w:p w14:paraId="4FE4BA34">
      <w:pPr>
        <w:spacing w:line="520" w:lineRule="exact"/>
        <w:rPr>
          <w:rFonts w:hint="default" w:ascii="Times New Roman" w:hAnsi="Times New Roman" w:cs="Times New Roman"/>
        </w:rPr>
        <w:sectPr>
          <w:footerReference r:id="rId5" w:type="default"/>
          <w:pgSz w:w="11906" w:h="16838"/>
          <w:pgMar w:top="1417" w:right="1417" w:bottom="1417" w:left="1417" w:header="1020" w:footer="1304" w:gutter="0"/>
          <w:pgBorders>
            <w:top w:val="none" w:sz="0" w:space="0"/>
            <w:left w:val="none" w:sz="0" w:space="0"/>
            <w:bottom w:val="none" w:sz="0" w:space="0"/>
            <w:right w:val="none" w:sz="0" w:space="0"/>
          </w:pgBorders>
          <w:pgNumType w:fmt="decimal"/>
          <w:cols w:space="0" w:num="1"/>
          <w:rtlGutter w:val="0"/>
          <w:docGrid w:type="lines" w:linePitch="438" w:charSpace="0"/>
        </w:sectPr>
      </w:pPr>
      <w:r>
        <w:rPr>
          <w:rFonts w:hint="default"/>
        </w:rPr>
        <w:t>列出第三方机构满足条件的资质符合性证明材料。</w:t>
      </w:r>
    </w:p>
    <w:p w14:paraId="5F9E6FB1">
      <w:pPr>
        <w:ind w:firstLine="0" w:firstLineChars="0"/>
        <w:rPr>
          <w:rFonts w:hint="default" w:ascii="Times New Roman" w:hAnsi="Times New Roman" w:eastAsia="黑体" w:cs="Times New Roman"/>
          <w:szCs w:val="32"/>
          <w:lang w:val="en-US"/>
        </w:rPr>
      </w:pPr>
      <w:r>
        <w:rPr>
          <w:rFonts w:hint="default" w:ascii="Times New Roman" w:hAnsi="Times New Roman" w:eastAsia="黑体" w:cs="Times New Roman"/>
          <w:sz w:val="32"/>
          <w:szCs w:val="32"/>
          <w:highlight w:val="none"/>
          <w:lang w:eastAsia="zh-CN"/>
        </w:rPr>
        <w:t>附表</w:t>
      </w:r>
      <w:r>
        <w:rPr>
          <w:rFonts w:hint="default" w:ascii="Times New Roman" w:hAnsi="Times New Roman" w:eastAsia="黑体" w:cs="Times New Roman"/>
          <w:sz w:val="32"/>
          <w:szCs w:val="32"/>
          <w:highlight w:val="none"/>
          <w:lang w:val="en-US" w:eastAsia="zh-CN"/>
        </w:rPr>
        <w:t>1.1.1</w:t>
      </w:r>
    </w:p>
    <w:p w14:paraId="580F7B7E">
      <w:pPr>
        <w:widowControl/>
        <w:spacing w:line="460" w:lineRule="exact"/>
        <w:ind w:left="0" w:leftChars="0" w:firstLine="0" w:firstLineChars="0"/>
        <w:jc w:val="center"/>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w:t>
      </w:r>
      <w:r>
        <w:rPr>
          <w:rFonts w:hint="default" w:ascii="Times New Roman" w:hAnsi="Times New Roman" w:eastAsia="黑体" w:cs="Times New Roman"/>
          <w:bCs/>
          <w:sz w:val="36"/>
          <w:szCs w:val="36"/>
          <w:highlight w:val="none"/>
          <w:lang w:eastAsia="zh-CN"/>
        </w:rPr>
        <w:t>基本要求</w:t>
      </w:r>
      <w:r>
        <w:rPr>
          <w:rFonts w:hint="eastAsia" w:ascii="Times New Roman" w:hAnsi="Times New Roman" w:eastAsia="黑体" w:cs="Times New Roman"/>
          <w:bCs/>
          <w:sz w:val="36"/>
          <w:szCs w:val="36"/>
          <w:highlight w:val="none"/>
          <w:lang w:val="en-US" w:eastAsia="zh-CN"/>
        </w:rPr>
        <w:t>第三方</w:t>
      </w:r>
      <w:r>
        <w:rPr>
          <w:rFonts w:hint="default" w:ascii="Times New Roman" w:hAnsi="Times New Roman" w:eastAsia="黑体" w:cs="Times New Roman"/>
          <w:bCs/>
          <w:sz w:val="36"/>
          <w:szCs w:val="36"/>
          <w:highlight w:val="none"/>
        </w:rPr>
        <w:t>评价表</w:t>
      </w:r>
    </w:p>
    <w:p w14:paraId="73BC9EA5">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11"/>
        <w:tblW w:w="141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50"/>
        <w:gridCol w:w="7300"/>
        <w:gridCol w:w="1333"/>
        <w:gridCol w:w="3729"/>
      </w:tblGrid>
      <w:tr w14:paraId="6466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jc w:val="center"/>
        </w:trPr>
        <w:tc>
          <w:tcPr>
            <w:tcW w:w="9050" w:type="dxa"/>
            <w:gridSpan w:val="2"/>
            <w:vAlign w:val="center"/>
          </w:tcPr>
          <w:p w14:paraId="5A3B2E2A">
            <w:pPr>
              <w:pStyle w:val="8"/>
              <w:bidi w:val="0"/>
              <w:jc w:val="center"/>
              <w:rPr>
                <w:b/>
                <w:bCs/>
              </w:rPr>
            </w:pPr>
            <w:r>
              <w:rPr>
                <w:b/>
                <w:bCs/>
              </w:rPr>
              <w:t>基本要求</w:t>
            </w:r>
          </w:p>
        </w:tc>
        <w:tc>
          <w:tcPr>
            <w:tcW w:w="1333" w:type="dxa"/>
            <w:vAlign w:val="center"/>
          </w:tcPr>
          <w:p w14:paraId="596524CB">
            <w:pPr>
              <w:pStyle w:val="8"/>
              <w:bidi w:val="0"/>
              <w:jc w:val="center"/>
              <w:rPr>
                <w:b/>
                <w:bCs/>
              </w:rPr>
            </w:pPr>
            <w:r>
              <w:rPr>
                <w:b/>
                <w:bCs/>
              </w:rPr>
              <w:t>是否符合</w:t>
            </w:r>
          </w:p>
        </w:tc>
        <w:tc>
          <w:tcPr>
            <w:tcW w:w="3729" w:type="dxa"/>
            <w:vAlign w:val="center"/>
          </w:tcPr>
          <w:p w14:paraId="1063FD20">
            <w:pPr>
              <w:pStyle w:val="8"/>
              <w:bidi w:val="0"/>
              <w:jc w:val="center"/>
              <w:rPr>
                <w:b/>
                <w:bCs/>
              </w:rPr>
            </w:pPr>
            <w:r>
              <w:rPr>
                <w:b/>
                <w:bCs/>
              </w:rPr>
              <w:t>证明材料索引</w:t>
            </w:r>
          </w:p>
        </w:tc>
      </w:tr>
      <w:tr w14:paraId="083DF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jc w:val="center"/>
        </w:trPr>
        <w:tc>
          <w:tcPr>
            <w:tcW w:w="1750" w:type="dxa"/>
            <w:vMerge w:val="restart"/>
            <w:tcBorders>
              <w:bottom w:val="nil"/>
            </w:tcBorders>
            <w:vAlign w:val="center"/>
          </w:tcPr>
          <w:p w14:paraId="3EF70D5A">
            <w:pPr>
              <w:pStyle w:val="8"/>
              <w:bidi w:val="0"/>
              <w:jc w:val="center"/>
            </w:pPr>
            <w:r>
              <w:t>基础合规性与 相关方要求</w:t>
            </w:r>
          </w:p>
        </w:tc>
        <w:tc>
          <w:tcPr>
            <w:tcW w:w="7300" w:type="dxa"/>
            <w:vAlign w:val="center"/>
          </w:tcPr>
          <w:p w14:paraId="4C3F988B">
            <w:pPr>
              <w:pStyle w:val="8"/>
              <w:bidi w:val="0"/>
              <w:jc w:val="center"/>
            </w:pPr>
            <w:r>
              <w:t>绿色工厂应依法设立，在建设和生产过程中应遵守有关法律、法规、政策和标准。</w:t>
            </w:r>
          </w:p>
        </w:tc>
        <w:tc>
          <w:tcPr>
            <w:tcW w:w="1333" w:type="dxa"/>
            <w:vAlign w:val="center"/>
          </w:tcPr>
          <w:p w14:paraId="2D629F32">
            <w:pPr>
              <w:pStyle w:val="8"/>
              <w:bidi w:val="0"/>
              <w:jc w:val="center"/>
            </w:pPr>
          </w:p>
        </w:tc>
        <w:tc>
          <w:tcPr>
            <w:tcW w:w="3729" w:type="dxa"/>
            <w:vAlign w:val="center"/>
          </w:tcPr>
          <w:p w14:paraId="3DB89721">
            <w:pPr>
              <w:pStyle w:val="8"/>
              <w:bidi w:val="0"/>
              <w:jc w:val="center"/>
            </w:pPr>
          </w:p>
        </w:tc>
      </w:tr>
      <w:tr w14:paraId="6EAB8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1750" w:type="dxa"/>
            <w:vMerge w:val="continue"/>
            <w:tcBorders>
              <w:top w:val="nil"/>
              <w:bottom w:val="nil"/>
            </w:tcBorders>
            <w:vAlign w:val="center"/>
          </w:tcPr>
          <w:p w14:paraId="7C30362C">
            <w:pPr>
              <w:pStyle w:val="8"/>
              <w:bidi w:val="0"/>
              <w:jc w:val="center"/>
            </w:pPr>
          </w:p>
        </w:tc>
        <w:tc>
          <w:tcPr>
            <w:tcW w:w="7300" w:type="dxa"/>
            <w:vAlign w:val="center"/>
          </w:tcPr>
          <w:p w14:paraId="6CC59A99">
            <w:pPr>
              <w:pStyle w:val="8"/>
              <w:bidi w:val="0"/>
              <w:jc w:val="center"/>
            </w:pPr>
            <w:r>
              <w:t>近三年（含成立不足三年）无较大及以上安全、环保、质量等事故。</w:t>
            </w:r>
          </w:p>
        </w:tc>
        <w:tc>
          <w:tcPr>
            <w:tcW w:w="1333" w:type="dxa"/>
            <w:vAlign w:val="center"/>
          </w:tcPr>
          <w:p w14:paraId="11181C41">
            <w:pPr>
              <w:pStyle w:val="8"/>
              <w:bidi w:val="0"/>
              <w:jc w:val="center"/>
            </w:pPr>
          </w:p>
        </w:tc>
        <w:tc>
          <w:tcPr>
            <w:tcW w:w="3729" w:type="dxa"/>
            <w:vAlign w:val="center"/>
          </w:tcPr>
          <w:p w14:paraId="48DC79C7">
            <w:pPr>
              <w:pStyle w:val="8"/>
              <w:bidi w:val="0"/>
              <w:jc w:val="center"/>
            </w:pPr>
          </w:p>
        </w:tc>
      </w:tr>
      <w:tr w14:paraId="2CA55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jc w:val="center"/>
        </w:trPr>
        <w:tc>
          <w:tcPr>
            <w:tcW w:w="1750" w:type="dxa"/>
            <w:vMerge w:val="continue"/>
            <w:tcBorders>
              <w:top w:val="nil"/>
            </w:tcBorders>
            <w:vAlign w:val="center"/>
          </w:tcPr>
          <w:p w14:paraId="2C1E0352">
            <w:pPr>
              <w:pStyle w:val="8"/>
              <w:bidi w:val="0"/>
              <w:jc w:val="center"/>
            </w:pPr>
          </w:p>
        </w:tc>
        <w:tc>
          <w:tcPr>
            <w:tcW w:w="7300" w:type="dxa"/>
            <w:vAlign w:val="center"/>
          </w:tcPr>
          <w:p w14:paraId="68A0B1F1">
            <w:pPr>
              <w:pStyle w:val="8"/>
              <w:bidi w:val="0"/>
              <w:jc w:val="center"/>
            </w:pPr>
            <w:r>
              <w:t>对利益相关方的环境要求做出承诺的，应同时满足有关承诺的要求。</w:t>
            </w:r>
          </w:p>
        </w:tc>
        <w:tc>
          <w:tcPr>
            <w:tcW w:w="1333" w:type="dxa"/>
            <w:vAlign w:val="center"/>
          </w:tcPr>
          <w:p w14:paraId="39CA6CCA">
            <w:pPr>
              <w:pStyle w:val="8"/>
              <w:bidi w:val="0"/>
              <w:jc w:val="center"/>
            </w:pPr>
          </w:p>
        </w:tc>
        <w:tc>
          <w:tcPr>
            <w:tcW w:w="3729" w:type="dxa"/>
            <w:vAlign w:val="center"/>
          </w:tcPr>
          <w:p w14:paraId="69AD8380">
            <w:pPr>
              <w:pStyle w:val="8"/>
              <w:bidi w:val="0"/>
              <w:jc w:val="center"/>
            </w:pPr>
          </w:p>
        </w:tc>
      </w:tr>
      <w:tr w14:paraId="597BD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jc w:val="center"/>
        </w:trPr>
        <w:tc>
          <w:tcPr>
            <w:tcW w:w="1750" w:type="dxa"/>
            <w:vMerge w:val="restart"/>
            <w:tcBorders>
              <w:bottom w:val="nil"/>
            </w:tcBorders>
            <w:vAlign w:val="center"/>
          </w:tcPr>
          <w:p w14:paraId="2F132E9E">
            <w:pPr>
              <w:pStyle w:val="8"/>
              <w:bidi w:val="0"/>
              <w:jc w:val="center"/>
            </w:pPr>
            <w:r>
              <w:t>基础管理职责 —— 最高管理 者</w:t>
            </w:r>
          </w:p>
        </w:tc>
        <w:tc>
          <w:tcPr>
            <w:tcW w:w="7300" w:type="dxa"/>
            <w:vAlign w:val="center"/>
          </w:tcPr>
          <w:p w14:paraId="785DDDD7">
            <w:pPr>
              <w:pStyle w:val="8"/>
              <w:bidi w:val="0"/>
              <w:jc w:val="center"/>
            </w:pPr>
            <w:r>
              <w:t>最高管理者在绿色工厂方面的领导作用和承诺满足 GB/T 36132 中 4.3.1 a)的要求。</w:t>
            </w:r>
          </w:p>
        </w:tc>
        <w:tc>
          <w:tcPr>
            <w:tcW w:w="1333" w:type="dxa"/>
            <w:vAlign w:val="center"/>
          </w:tcPr>
          <w:p w14:paraId="3073AD1F">
            <w:pPr>
              <w:pStyle w:val="8"/>
              <w:bidi w:val="0"/>
              <w:jc w:val="center"/>
            </w:pPr>
          </w:p>
        </w:tc>
        <w:tc>
          <w:tcPr>
            <w:tcW w:w="3729" w:type="dxa"/>
            <w:vAlign w:val="center"/>
          </w:tcPr>
          <w:p w14:paraId="56ABE4B8">
            <w:pPr>
              <w:pStyle w:val="8"/>
              <w:bidi w:val="0"/>
              <w:jc w:val="center"/>
            </w:pPr>
          </w:p>
        </w:tc>
      </w:tr>
      <w:tr w14:paraId="0FA5C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jc w:val="center"/>
        </w:trPr>
        <w:tc>
          <w:tcPr>
            <w:tcW w:w="1750" w:type="dxa"/>
            <w:vMerge w:val="continue"/>
            <w:tcBorders>
              <w:top w:val="nil"/>
            </w:tcBorders>
            <w:vAlign w:val="center"/>
          </w:tcPr>
          <w:p w14:paraId="4CB0F9E1">
            <w:pPr>
              <w:pStyle w:val="8"/>
              <w:bidi w:val="0"/>
              <w:jc w:val="center"/>
            </w:pPr>
          </w:p>
        </w:tc>
        <w:tc>
          <w:tcPr>
            <w:tcW w:w="7300" w:type="dxa"/>
            <w:vAlign w:val="center"/>
          </w:tcPr>
          <w:p w14:paraId="5655194B">
            <w:pPr>
              <w:pStyle w:val="8"/>
              <w:bidi w:val="0"/>
              <w:jc w:val="center"/>
            </w:pPr>
            <w:r>
              <w:t>最高管理者确保在工厂内部分配并沟通与绿色工厂相关角色 的职责和权限，且满足 GB/T 36132  中 4.3. 1 b)的要求。</w:t>
            </w:r>
          </w:p>
        </w:tc>
        <w:tc>
          <w:tcPr>
            <w:tcW w:w="1333" w:type="dxa"/>
            <w:vAlign w:val="center"/>
          </w:tcPr>
          <w:p w14:paraId="393F4B9F">
            <w:pPr>
              <w:pStyle w:val="8"/>
              <w:bidi w:val="0"/>
              <w:jc w:val="center"/>
            </w:pPr>
          </w:p>
        </w:tc>
        <w:tc>
          <w:tcPr>
            <w:tcW w:w="3729" w:type="dxa"/>
            <w:vAlign w:val="center"/>
          </w:tcPr>
          <w:p w14:paraId="535E487D">
            <w:pPr>
              <w:pStyle w:val="8"/>
              <w:bidi w:val="0"/>
              <w:jc w:val="center"/>
            </w:pPr>
          </w:p>
        </w:tc>
      </w:tr>
      <w:tr w14:paraId="68D07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1750" w:type="dxa"/>
            <w:vMerge w:val="restart"/>
            <w:tcBorders>
              <w:bottom w:val="nil"/>
            </w:tcBorders>
            <w:vAlign w:val="center"/>
          </w:tcPr>
          <w:p w14:paraId="69C2D8D5">
            <w:pPr>
              <w:pStyle w:val="8"/>
              <w:bidi w:val="0"/>
              <w:jc w:val="center"/>
            </w:pPr>
            <w:r>
              <w:t>基础管理职责 ——工厂</w:t>
            </w:r>
          </w:p>
        </w:tc>
        <w:tc>
          <w:tcPr>
            <w:tcW w:w="7300" w:type="dxa"/>
            <w:vAlign w:val="center"/>
          </w:tcPr>
          <w:p w14:paraId="7E1B2BDE">
            <w:pPr>
              <w:pStyle w:val="8"/>
              <w:bidi w:val="0"/>
              <w:jc w:val="center"/>
            </w:pPr>
            <w:r>
              <w:t>应设有绿色工厂管理机构，负责有关绿色工厂的制度建设、实施、考核及奖励工作，建立目标责任制。</w:t>
            </w:r>
          </w:p>
        </w:tc>
        <w:tc>
          <w:tcPr>
            <w:tcW w:w="1333" w:type="dxa"/>
            <w:vAlign w:val="center"/>
          </w:tcPr>
          <w:p w14:paraId="4E533E37">
            <w:pPr>
              <w:pStyle w:val="8"/>
              <w:bidi w:val="0"/>
              <w:jc w:val="center"/>
            </w:pPr>
          </w:p>
        </w:tc>
        <w:tc>
          <w:tcPr>
            <w:tcW w:w="3729" w:type="dxa"/>
            <w:vAlign w:val="center"/>
          </w:tcPr>
          <w:p w14:paraId="63419BF9">
            <w:pPr>
              <w:pStyle w:val="8"/>
              <w:bidi w:val="0"/>
              <w:jc w:val="center"/>
            </w:pPr>
          </w:p>
        </w:tc>
      </w:tr>
      <w:tr w14:paraId="0D484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1750" w:type="dxa"/>
            <w:vMerge w:val="continue"/>
            <w:tcBorders>
              <w:top w:val="nil"/>
              <w:bottom w:val="nil"/>
            </w:tcBorders>
            <w:vAlign w:val="center"/>
          </w:tcPr>
          <w:p w14:paraId="383FF300">
            <w:pPr>
              <w:pStyle w:val="8"/>
              <w:bidi w:val="0"/>
              <w:jc w:val="center"/>
            </w:pPr>
          </w:p>
        </w:tc>
        <w:tc>
          <w:tcPr>
            <w:tcW w:w="7300" w:type="dxa"/>
            <w:vAlign w:val="center"/>
          </w:tcPr>
          <w:p w14:paraId="287CD799">
            <w:pPr>
              <w:pStyle w:val="8"/>
              <w:bidi w:val="0"/>
              <w:jc w:val="center"/>
            </w:pPr>
            <w:r>
              <w:t>应有开展绿色工厂的中长期规划及年度目标、指标和实施方案。可行时，指标应明确且可量化。</w:t>
            </w:r>
          </w:p>
        </w:tc>
        <w:tc>
          <w:tcPr>
            <w:tcW w:w="1333" w:type="dxa"/>
            <w:vAlign w:val="center"/>
          </w:tcPr>
          <w:p w14:paraId="0B55DCA8">
            <w:pPr>
              <w:pStyle w:val="8"/>
              <w:bidi w:val="0"/>
              <w:jc w:val="center"/>
            </w:pPr>
          </w:p>
        </w:tc>
        <w:tc>
          <w:tcPr>
            <w:tcW w:w="3729" w:type="dxa"/>
            <w:vAlign w:val="center"/>
          </w:tcPr>
          <w:p w14:paraId="7CD64713">
            <w:pPr>
              <w:pStyle w:val="8"/>
              <w:bidi w:val="0"/>
              <w:jc w:val="center"/>
            </w:pPr>
          </w:p>
        </w:tc>
      </w:tr>
      <w:tr w14:paraId="29520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1750" w:type="dxa"/>
            <w:vMerge w:val="continue"/>
            <w:tcBorders>
              <w:top w:val="nil"/>
            </w:tcBorders>
            <w:vAlign w:val="center"/>
          </w:tcPr>
          <w:p w14:paraId="615143A0">
            <w:pPr>
              <w:pStyle w:val="8"/>
              <w:bidi w:val="0"/>
              <w:jc w:val="center"/>
            </w:pPr>
          </w:p>
        </w:tc>
        <w:tc>
          <w:tcPr>
            <w:tcW w:w="7300" w:type="dxa"/>
            <w:vAlign w:val="center"/>
          </w:tcPr>
          <w:p w14:paraId="7B893A9B">
            <w:pPr>
              <w:pStyle w:val="8"/>
              <w:bidi w:val="0"/>
              <w:jc w:val="center"/>
            </w:pPr>
            <w:r>
              <w:t>应传播绿色制造的概念和知识，定期为员工提供绿色制造相关知识的教育、培训，并对教育和培训的结果进行考评。</w:t>
            </w:r>
          </w:p>
        </w:tc>
        <w:tc>
          <w:tcPr>
            <w:tcW w:w="1333" w:type="dxa"/>
            <w:vAlign w:val="center"/>
          </w:tcPr>
          <w:p w14:paraId="4C01E917">
            <w:pPr>
              <w:pStyle w:val="8"/>
              <w:bidi w:val="0"/>
              <w:jc w:val="center"/>
            </w:pPr>
          </w:p>
        </w:tc>
        <w:tc>
          <w:tcPr>
            <w:tcW w:w="3729" w:type="dxa"/>
            <w:vAlign w:val="center"/>
          </w:tcPr>
          <w:p w14:paraId="260C0C2C">
            <w:pPr>
              <w:pStyle w:val="8"/>
              <w:bidi w:val="0"/>
              <w:jc w:val="center"/>
            </w:pPr>
          </w:p>
        </w:tc>
      </w:tr>
    </w:tbl>
    <w:p w14:paraId="1D51134A">
      <w:pPr>
        <w:ind w:firstLine="0" w:firstLineChars="0"/>
        <w:rPr>
          <w:rFonts w:hint="default" w:ascii="Times New Roman" w:hAnsi="Times New Roman" w:eastAsia="仿宋_GB2312" w:cs="Times New Roman"/>
          <w:sz w:val="30"/>
          <w:szCs w:val="30"/>
          <w:highlight w:val="none"/>
          <w:lang w:val="en-US"/>
        </w:rPr>
      </w:pPr>
      <w:r>
        <w:rPr>
          <w:rFonts w:hint="default" w:ascii="Times New Roman" w:hAnsi="Times New Roman" w:eastAsia="黑体" w:cs="Times New Roman"/>
          <w:sz w:val="32"/>
          <w:szCs w:val="32"/>
          <w:highlight w:val="none"/>
          <w:lang w:eastAsia="zh-CN"/>
        </w:rPr>
        <w:t>附表</w:t>
      </w:r>
      <w:r>
        <w:rPr>
          <w:rFonts w:hint="default" w:ascii="Times New Roman" w:hAnsi="Times New Roman" w:eastAsia="黑体" w:cs="Times New Roman"/>
          <w:sz w:val="32"/>
          <w:szCs w:val="32"/>
          <w:highlight w:val="none"/>
          <w:lang w:val="en-US" w:eastAsia="zh-CN"/>
        </w:rPr>
        <w:t>1.1.2</w:t>
      </w:r>
    </w:p>
    <w:p w14:paraId="4468D1CB">
      <w:pPr>
        <w:widowControl/>
        <w:spacing w:line="460" w:lineRule="exact"/>
        <w:jc w:val="center"/>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绿色工厂评价指标评价表</w:t>
      </w:r>
    </w:p>
    <w:p w14:paraId="02EF85EF">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6"/>
        <w:tblW w:w="14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704"/>
        <w:gridCol w:w="787"/>
        <w:gridCol w:w="920"/>
        <w:gridCol w:w="6392"/>
        <w:gridCol w:w="2407"/>
        <w:gridCol w:w="1275"/>
        <w:gridCol w:w="851"/>
        <w:gridCol w:w="711"/>
        <w:gridCol w:w="770"/>
      </w:tblGrid>
      <w:tr w14:paraId="2D76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blHeader/>
          <w:jc w:val="center"/>
        </w:trPr>
        <w:tc>
          <w:tcPr>
            <w:tcW w:w="704" w:type="dxa"/>
            <w:noWrap w:val="0"/>
            <w:vAlign w:val="center"/>
          </w:tcPr>
          <w:p w14:paraId="48900D14">
            <w:pPr>
              <w:pStyle w:val="8"/>
              <w:bidi w:val="0"/>
              <w:rPr>
                <w:rFonts w:hint="default"/>
                <w:b/>
                <w:bCs/>
              </w:rPr>
            </w:pPr>
            <w:r>
              <w:rPr>
                <w:rFonts w:hint="default"/>
                <w:b/>
                <w:bCs/>
              </w:rPr>
              <w:t>序号</w:t>
            </w:r>
          </w:p>
        </w:tc>
        <w:tc>
          <w:tcPr>
            <w:tcW w:w="787" w:type="dxa"/>
            <w:noWrap w:val="0"/>
            <w:vAlign w:val="center"/>
          </w:tcPr>
          <w:p w14:paraId="02FA2EEE">
            <w:pPr>
              <w:pStyle w:val="8"/>
              <w:bidi w:val="0"/>
              <w:rPr>
                <w:rFonts w:hint="default"/>
                <w:b/>
                <w:bCs/>
              </w:rPr>
            </w:pPr>
            <w:r>
              <w:rPr>
                <w:rFonts w:hint="default"/>
                <w:b/>
                <w:bCs/>
              </w:rPr>
              <w:t>一级指标</w:t>
            </w:r>
          </w:p>
        </w:tc>
        <w:tc>
          <w:tcPr>
            <w:tcW w:w="920" w:type="dxa"/>
            <w:noWrap w:val="0"/>
            <w:vAlign w:val="center"/>
          </w:tcPr>
          <w:p w14:paraId="444A4101">
            <w:pPr>
              <w:pStyle w:val="8"/>
              <w:bidi w:val="0"/>
              <w:rPr>
                <w:rFonts w:hint="default"/>
                <w:b/>
                <w:bCs/>
              </w:rPr>
            </w:pPr>
            <w:r>
              <w:rPr>
                <w:rFonts w:hint="default"/>
                <w:b/>
                <w:bCs/>
              </w:rPr>
              <w:t>二级指标</w:t>
            </w:r>
          </w:p>
        </w:tc>
        <w:tc>
          <w:tcPr>
            <w:tcW w:w="6392" w:type="dxa"/>
            <w:noWrap w:val="0"/>
            <w:vAlign w:val="center"/>
          </w:tcPr>
          <w:p w14:paraId="713FF7FD">
            <w:pPr>
              <w:pStyle w:val="8"/>
              <w:bidi w:val="0"/>
              <w:rPr>
                <w:rFonts w:hint="default"/>
                <w:b/>
                <w:bCs/>
              </w:rPr>
            </w:pPr>
            <w:r>
              <w:rPr>
                <w:rFonts w:hint="default"/>
                <w:b/>
                <w:bCs/>
                <w:lang w:eastAsia="zh-CN"/>
              </w:rPr>
              <w:t>具体评价</w:t>
            </w:r>
            <w:r>
              <w:rPr>
                <w:rFonts w:hint="default"/>
                <w:b/>
                <w:bCs/>
              </w:rPr>
              <w:t>要求</w:t>
            </w:r>
          </w:p>
        </w:tc>
        <w:tc>
          <w:tcPr>
            <w:tcW w:w="2407" w:type="dxa"/>
            <w:noWrap w:val="0"/>
            <w:vAlign w:val="center"/>
          </w:tcPr>
          <w:p w14:paraId="5FE6B76B">
            <w:pPr>
              <w:pStyle w:val="8"/>
              <w:bidi w:val="0"/>
              <w:rPr>
                <w:rFonts w:hint="default"/>
                <w:b/>
                <w:bCs/>
              </w:rPr>
            </w:pPr>
            <w:r>
              <w:rPr>
                <w:rFonts w:hint="default"/>
                <w:b/>
                <w:bCs/>
              </w:rPr>
              <w:t>符合性说明及证明材料索引</w:t>
            </w:r>
          </w:p>
        </w:tc>
        <w:tc>
          <w:tcPr>
            <w:tcW w:w="1275" w:type="dxa"/>
            <w:noWrap w:val="0"/>
            <w:vAlign w:val="center"/>
          </w:tcPr>
          <w:p w14:paraId="214521FE">
            <w:pPr>
              <w:pStyle w:val="8"/>
              <w:bidi w:val="0"/>
              <w:rPr>
                <w:rFonts w:hint="default"/>
                <w:b/>
                <w:bCs/>
              </w:rPr>
            </w:pPr>
            <w:r>
              <w:rPr>
                <w:rFonts w:hint="default"/>
                <w:b/>
                <w:bCs/>
              </w:rPr>
              <w:t>要求类型</w:t>
            </w:r>
          </w:p>
        </w:tc>
        <w:tc>
          <w:tcPr>
            <w:tcW w:w="851" w:type="dxa"/>
            <w:noWrap w:val="0"/>
            <w:vAlign w:val="center"/>
          </w:tcPr>
          <w:p w14:paraId="71C5A125">
            <w:pPr>
              <w:pStyle w:val="8"/>
              <w:bidi w:val="0"/>
              <w:rPr>
                <w:rFonts w:hint="default"/>
                <w:b/>
                <w:bCs/>
              </w:rPr>
            </w:pPr>
            <w:r>
              <w:rPr>
                <w:rFonts w:hint="default"/>
                <w:b/>
                <w:bCs/>
              </w:rPr>
              <w:t>分值</w:t>
            </w:r>
          </w:p>
        </w:tc>
        <w:tc>
          <w:tcPr>
            <w:tcW w:w="711" w:type="dxa"/>
            <w:noWrap w:val="0"/>
            <w:vAlign w:val="center"/>
          </w:tcPr>
          <w:p w14:paraId="57D16842">
            <w:pPr>
              <w:pStyle w:val="8"/>
              <w:bidi w:val="0"/>
              <w:rPr>
                <w:rFonts w:hint="default"/>
                <w:b/>
                <w:bCs/>
              </w:rPr>
            </w:pPr>
            <w:r>
              <w:rPr>
                <w:rFonts w:hint="default"/>
                <w:b/>
                <w:bCs/>
              </w:rPr>
              <w:t>权重</w:t>
            </w:r>
          </w:p>
        </w:tc>
        <w:tc>
          <w:tcPr>
            <w:tcW w:w="770" w:type="dxa"/>
            <w:noWrap w:val="0"/>
            <w:vAlign w:val="center"/>
          </w:tcPr>
          <w:p w14:paraId="58D98C49">
            <w:pPr>
              <w:pStyle w:val="8"/>
              <w:bidi w:val="0"/>
              <w:rPr>
                <w:rFonts w:hint="default"/>
                <w:b/>
                <w:bCs/>
              </w:rPr>
            </w:pPr>
            <w:r>
              <w:rPr>
                <w:rFonts w:hint="default"/>
                <w:b/>
                <w:bCs/>
              </w:rPr>
              <w:t>得分</w:t>
            </w:r>
          </w:p>
        </w:tc>
      </w:tr>
      <w:tr w14:paraId="7BA67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noWrap w:val="0"/>
            <w:vAlign w:val="center"/>
          </w:tcPr>
          <w:p w14:paraId="5B4D3932">
            <w:pPr>
              <w:pStyle w:val="8"/>
              <w:bidi w:val="0"/>
              <w:rPr>
                <w:rFonts w:hint="default"/>
              </w:rPr>
            </w:pPr>
            <w:r>
              <w:rPr>
                <w:rFonts w:hint="default"/>
              </w:rPr>
              <w:t>1</w:t>
            </w:r>
          </w:p>
        </w:tc>
        <w:tc>
          <w:tcPr>
            <w:tcW w:w="787" w:type="dxa"/>
            <w:vMerge w:val="restart"/>
            <w:noWrap w:val="0"/>
            <w:vAlign w:val="center"/>
          </w:tcPr>
          <w:p w14:paraId="1A4F67FD">
            <w:pPr>
              <w:pStyle w:val="8"/>
              <w:bidi w:val="0"/>
              <w:rPr>
                <w:rFonts w:hint="default"/>
              </w:rPr>
            </w:pPr>
            <w:r>
              <w:rPr>
                <w:rFonts w:hint="default"/>
              </w:rPr>
              <w:t>基础设施</w:t>
            </w:r>
          </w:p>
        </w:tc>
        <w:tc>
          <w:tcPr>
            <w:tcW w:w="920" w:type="dxa"/>
            <w:vMerge w:val="restart"/>
            <w:noWrap w:val="0"/>
            <w:vAlign w:val="center"/>
          </w:tcPr>
          <w:p w14:paraId="4A6997D6">
            <w:pPr>
              <w:pStyle w:val="8"/>
              <w:bidi w:val="0"/>
              <w:rPr>
                <w:rFonts w:hint="default"/>
              </w:rPr>
            </w:pPr>
            <w:r>
              <w:rPr>
                <w:rFonts w:hint="default"/>
              </w:rPr>
              <w:t>建筑</w:t>
            </w:r>
          </w:p>
        </w:tc>
        <w:tc>
          <w:tcPr>
            <w:tcW w:w="6392" w:type="dxa"/>
            <w:noWrap w:val="0"/>
            <w:vAlign w:val="center"/>
          </w:tcPr>
          <w:p w14:paraId="0BE27C44">
            <w:pPr>
              <w:pStyle w:val="8"/>
              <w:bidi w:val="0"/>
              <w:jc w:val="left"/>
              <w:rPr>
                <w:rFonts w:hint="default"/>
              </w:rPr>
            </w:pPr>
            <w:r>
              <w:rPr>
                <w:rFonts w:hint="default"/>
              </w:rPr>
              <w:t>工厂的建筑应满足国家或地方相关法律法规及标准的要求。</w:t>
            </w:r>
          </w:p>
        </w:tc>
        <w:tc>
          <w:tcPr>
            <w:tcW w:w="2407" w:type="dxa"/>
            <w:noWrap w:val="0"/>
            <w:vAlign w:val="center"/>
          </w:tcPr>
          <w:p w14:paraId="295A2B2B">
            <w:pPr>
              <w:pStyle w:val="8"/>
              <w:bidi w:val="0"/>
              <w:rPr>
                <w:rFonts w:hint="default"/>
              </w:rPr>
            </w:pPr>
            <w:r>
              <w:rPr>
                <w:rFonts w:hint="default"/>
              </w:rPr>
              <w:t>　</w:t>
            </w:r>
          </w:p>
        </w:tc>
        <w:tc>
          <w:tcPr>
            <w:tcW w:w="1275" w:type="dxa"/>
            <w:vMerge w:val="restart"/>
            <w:noWrap w:val="0"/>
            <w:vAlign w:val="center"/>
          </w:tcPr>
          <w:p w14:paraId="4E7E858F">
            <w:pPr>
              <w:pStyle w:val="8"/>
              <w:bidi w:val="0"/>
              <w:rPr>
                <w:rFonts w:hint="default"/>
              </w:rPr>
            </w:pPr>
            <w:r>
              <w:rPr>
                <w:rFonts w:hint="default"/>
                <w:lang w:eastAsia="zh-CN"/>
              </w:rPr>
              <w:t>必选</w:t>
            </w:r>
          </w:p>
        </w:tc>
        <w:tc>
          <w:tcPr>
            <w:tcW w:w="851" w:type="dxa"/>
            <w:noWrap w:val="0"/>
            <w:vAlign w:val="center"/>
          </w:tcPr>
          <w:p w14:paraId="5EDD49A1">
            <w:pPr>
              <w:pStyle w:val="8"/>
              <w:bidi w:val="0"/>
              <w:rPr>
                <w:rFonts w:hint="default"/>
                <w:lang w:val="en-US" w:eastAsia="zh-CN"/>
              </w:rPr>
            </w:pPr>
            <w:r>
              <w:rPr>
                <w:rFonts w:hint="default"/>
                <w:lang w:val="en-US" w:eastAsia="zh-CN"/>
              </w:rPr>
              <w:t>8</w:t>
            </w:r>
          </w:p>
        </w:tc>
        <w:tc>
          <w:tcPr>
            <w:tcW w:w="711" w:type="dxa"/>
            <w:vMerge w:val="restart"/>
            <w:noWrap w:val="0"/>
            <w:vAlign w:val="center"/>
          </w:tcPr>
          <w:p w14:paraId="16453D22">
            <w:pPr>
              <w:pStyle w:val="8"/>
              <w:bidi w:val="0"/>
              <w:rPr>
                <w:rFonts w:hint="default"/>
              </w:rPr>
            </w:pPr>
            <w:r>
              <w:rPr>
                <w:rFonts w:hint="default"/>
              </w:rPr>
              <w:t>20%</w:t>
            </w:r>
          </w:p>
        </w:tc>
        <w:tc>
          <w:tcPr>
            <w:tcW w:w="770" w:type="dxa"/>
            <w:noWrap w:val="0"/>
            <w:vAlign w:val="center"/>
          </w:tcPr>
          <w:p w14:paraId="6AEE5908">
            <w:pPr>
              <w:pStyle w:val="8"/>
              <w:bidi w:val="0"/>
              <w:rPr>
                <w:rFonts w:hint="default"/>
              </w:rPr>
            </w:pPr>
            <w:r>
              <w:rPr>
                <w:rFonts w:hint="default"/>
              </w:rPr>
              <w:t>　</w:t>
            </w:r>
          </w:p>
        </w:tc>
      </w:tr>
      <w:tr w14:paraId="0CCF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13D993B4">
            <w:pPr>
              <w:pStyle w:val="8"/>
              <w:bidi w:val="0"/>
              <w:rPr>
                <w:rFonts w:hint="default"/>
              </w:rPr>
            </w:pPr>
          </w:p>
        </w:tc>
        <w:tc>
          <w:tcPr>
            <w:tcW w:w="787" w:type="dxa"/>
            <w:vMerge w:val="continue"/>
            <w:noWrap w:val="0"/>
            <w:vAlign w:val="center"/>
          </w:tcPr>
          <w:p w14:paraId="1DE9679C">
            <w:pPr>
              <w:pStyle w:val="8"/>
              <w:bidi w:val="0"/>
              <w:rPr>
                <w:rFonts w:hint="default"/>
              </w:rPr>
            </w:pPr>
          </w:p>
        </w:tc>
        <w:tc>
          <w:tcPr>
            <w:tcW w:w="920" w:type="dxa"/>
            <w:vMerge w:val="continue"/>
            <w:noWrap w:val="0"/>
            <w:vAlign w:val="center"/>
          </w:tcPr>
          <w:p w14:paraId="61B479A2">
            <w:pPr>
              <w:pStyle w:val="8"/>
              <w:bidi w:val="0"/>
              <w:rPr>
                <w:rFonts w:hint="default"/>
              </w:rPr>
            </w:pPr>
          </w:p>
        </w:tc>
        <w:tc>
          <w:tcPr>
            <w:tcW w:w="6392" w:type="dxa"/>
            <w:noWrap w:val="0"/>
            <w:vAlign w:val="center"/>
          </w:tcPr>
          <w:p w14:paraId="78FF61D1">
            <w:pPr>
              <w:pStyle w:val="8"/>
              <w:bidi w:val="0"/>
              <w:jc w:val="left"/>
              <w:rPr>
                <w:rFonts w:hint="default"/>
              </w:rPr>
            </w:pPr>
            <w:r>
              <w:rPr>
                <w:rFonts w:hint="default"/>
              </w:rPr>
              <w:t>新建、改建和扩建建筑时，应遵守国家“固定资产投资项目节能评估审查制度”、“三同时制度”、“工业项目建设用地控制指标”等产业政策和有关要求。</w:t>
            </w:r>
          </w:p>
        </w:tc>
        <w:tc>
          <w:tcPr>
            <w:tcW w:w="2407" w:type="dxa"/>
            <w:noWrap w:val="0"/>
            <w:vAlign w:val="center"/>
          </w:tcPr>
          <w:p w14:paraId="3568648E">
            <w:pPr>
              <w:pStyle w:val="8"/>
              <w:bidi w:val="0"/>
              <w:rPr>
                <w:rFonts w:hint="default"/>
              </w:rPr>
            </w:pPr>
            <w:r>
              <w:rPr>
                <w:rFonts w:hint="default"/>
              </w:rPr>
              <w:t>　</w:t>
            </w:r>
          </w:p>
        </w:tc>
        <w:tc>
          <w:tcPr>
            <w:tcW w:w="1275" w:type="dxa"/>
            <w:vMerge w:val="continue"/>
            <w:noWrap w:val="0"/>
            <w:vAlign w:val="center"/>
          </w:tcPr>
          <w:p w14:paraId="10793643">
            <w:pPr>
              <w:pStyle w:val="8"/>
              <w:bidi w:val="0"/>
              <w:rPr>
                <w:rFonts w:hint="default"/>
              </w:rPr>
            </w:pPr>
          </w:p>
        </w:tc>
        <w:tc>
          <w:tcPr>
            <w:tcW w:w="851" w:type="dxa"/>
            <w:noWrap w:val="0"/>
            <w:vAlign w:val="center"/>
          </w:tcPr>
          <w:p w14:paraId="204A7D57">
            <w:pPr>
              <w:pStyle w:val="8"/>
              <w:bidi w:val="0"/>
              <w:rPr>
                <w:rFonts w:hint="default"/>
                <w:lang w:val="en-US" w:eastAsia="zh-CN"/>
              </w:rPr>
            </w:pPr>
            <w:r>
              <w:rPr>
                <w:rFonts w:hint="default"/>
                <w:lang w:val="en-US" w:eastAsia="zh-CN"/>
              </w:rPr>
              <w:t>6</w:t>
            </w:r>
          </w:p>
        </w:tc>
        <w:tc>
          <w:tcPr>
            <w:tcW w:w="711" w:type="dxa"/>
            <w:vMerge w:val="continue"/>
            <w:noWrap w:val="0"/>
            <w:vAlign w:val="center"/>
          </w:tcPr>
          <w:p w14:paraId="43EECB70">
            <w:pPr>
              <w:pStyle w:val="8"/>
              <w:bidi w:val="0"/>
              <w:rPr>
                <w:rFonts w:hint="default"/>
              </w:rPr>
            </w:pPr>
          </w:p>
        </w:tc>
        <w:tc>
          <w:tcPr>
            <w:tcW w:w="770" w:type="dxa"/>
            <w:noWrap w:val="0"/>
            <w:vAlign w:val="center"/>
          </w:tcPr>
          <w:p w14:paraId="64C43805">
            <w:pPr>
              <w:pStyle w:val="8"/>
              <w:bidi w:val="0"/>
              <w:rPr>
                <w:rFonts w:hint="default"/>
              </w:rPr>
            </w:pPr>
            <w:r>
              <w:rPr>
                <w:rFonts w:hint="default"/>
              </w:rPr>
              <w:t>　</w:t>
            </w:r>
          </w:p>
        </w:tc>
      </w:tr>
      <w:tr w14:paraId="5A95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BBC31C8">
            <w:pPr>
              <w:pStyle w:val="8"/>
              <w:bidi w:val="0"/>
              <w:rPr>
                <w:rFonts w:hint="default"/>
              </w:rPr>
            </w:pPr>
          </w:p>
        </w:tc>
        <w:tc>
          <w:tcPr>
            <w:tcW w:w="787" w:type="dxa"/>
            <w:vMerge w:val="continue"/>
            <w:noWrap w:val="0"/>
            <w:vAlign w:val="center"/>
          </w:tcPr>
          <w:p w14:paraId="2E5BF0AA">
            <w:pPr>
              <w:pStyle w:val="8"/>
              <w:bidi w:val="0"/>
              <w:rPr>
                <w:rFonts w:hint="default"/>
              </w:rPr>
            </w:pPr>
          </w:p>
        </w:tc>
        <w:tc>
          <w:tcPr>
            <w:tcW w:w="920" w:type="dxa"/>
            <w:vMerge w:val="continue"/>
            <w:noWrap w:val="0"/>
            <w:vAlign w:val="center"/>
          </w:tcPr>
          <w:p w14:paraId="668E8914">
            <w:pPr>
              <w:pStyle w:val="8"/>
              <w:bidi w:val="0"/>
              <w:rPr>
                <w:rFonts w:hint="default"/>
              </w:rPr>
            </w:pPr>
          </w:p>
        </w:tc>
        <w:tc>
          <w:tcPr>
            <w:tcW w:w="6392" w:type="dxa"/>
            <w:noWrap w:val="0"/>
            <w:vAlign w:val="center"/>
          </w:tcPr>
          <w:p w14:paraId="4E69678A">
            <w:pPr>
              <w:pStyle w:val="8"/>
              <w:bidi w:val="0"/>
              <w:jc w:val="left"/>
              <w:rPr>
                <w:rFonts w:hint="default"/>
              </w:rPr>
            </w:pPr>
            <w:r>
              <w:rPr>
                <w:rFonts w:hint="default"/>
              </w:rPr>
              <w:t>厂房内部装饰装修材料中醛、苯、氨、氡等有害物质</w:t>
            </w:r>
            <w:r>
              <w:rPr>
                <w:rFonts w:hint="default"/>
                <w:lang w:eastAsia="zh-CN"/>
              </w:rPr>
              <w:t>应</w:t>
            </w:r>
            <w:r>
              <w:rPr>
                <w:rFonts w:hint="default"/>
              </w:rPr>
              <w:t>符合国家和地方法律、标准要求。</w:t>
            </w:r>
          </w:p>
        </w:tc>
        <w:tc>
          <w:tcPr>
            <w:tcW w:w="2407" w:type="dxa"/>
            <w:noWrap w:val="0"/>
            <w:vAlign w:val="center"/>
          </w:tcPr>
          <w:p w14:paraId="17EE9EFA">
            <w:pPr>
              <w:pStyle w:val="8"/>
              <w:bidi w:val="0"/>
              <w:rPr>
                <w:rFonts w:hint="default"/>
              </w:rPr>
            </w:pPr>
            <w:r>
              <w:rPr>
                <w:rFonts w:hint="default"/>
              </w:rPr>
              <w:t>　</w:t>
            </w:r>
          </w:p>
        </w:tc>
        <w:tc>
          <w:tcPr>
            <w:tcW w:w="1275" w:type="dxa"/>
            <w:vMerge w:val="continue"/>
            <w:noWrap w:val="0"/>
            <w:vAlign w:val="center"/>
          </w:tcPr>
          <w:p w14:paraId="208C2CA1">
            <w:pPr>
              <w:pStyle w:val="8"/>
              <w:bidi w:val="0"/>
              <w:rPr>
                <w:rFonts w:hint="default"/>
              </w:rPr>
            </w:pPr>
          </w:p>
        </w:tc>
        <w:tc>
          <w:tcPr>
            <w:tcW w:w="851" w:type="dxa"/>
            <w:noWrap w:val="0"/>
            <w:vAlign w:val="center"/>
          </w:tcPr>
          <w:p w14:paraId="475B411B">
            <w:pPr>
              <w:pStyle w:val="8"/>
              <w:bidi w:val="0"/>
              <w:rPr>
                <w:rFonts w:hint="default"/>
                <w:lang w:val="en-US" w:eastAsia="zh-CN"/>
              </w:rPr>
            </w:pPr>
            <w:r>
              <w:rPr>
                <w:rFonts w:hint="default"/>
                <w:lang w:val="en-US" w:eastAsia="zh-CN"/>
              </w:rPr>
              <w:t>3</w:t>
            </w:r>
          </w:p>
        </w:tc>
        <w:tc>
          <w:tcPr>
            <w:tcW w:w="711" w:type="dxa"/>
            <w:vMerge w:val="continue"/>
            <w:noWrap w:val="0"/>
            <w:vAlign w:val="center"/>
          </w:tcPr>
          <w:p w14:paraId="51405A8C">
            <w:pPr>
              <w:pStyle w:val="8"/>
              <w:bidi w:val="0"/>
              <w:rPr>
                <w:rFonts w:hint="default"/>
              </w:rPr>
            </w:pPr>
          </w:p>
        </w:tc>
        <w:tc>
          <w:tcPr>
            <w:tcW w:w="770" w:type="dxa"/>
            <w:noWrap w:val="0"/>
            <w:vAlign w:val="center"/>
          </w:tcPr>
          <w:p w14:paraId="2029A9D9">
            <w:pPr>
              <w:pStyle w:val="8"/>
              <w:bidi w:val="0"/>
              <w:rPr>
                <w:rFonts w:hint="default"/>
              </w:rPr>
            </w:pPr>
            <w:r>
              <w:rPr>
                <w:rFonts w:hint="default"/>
              </w:rPr>
              <w:t>　</w:t>
            </w:r>
          </w:p>
        </w:tc>
      </w:tr>
      <w:tr w14:paraId="3CC6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95B2D27">
            <w:pPr>
              <w:pStyle w:val="8"/>
              <w:bidi w:val="0"/>
              <w:rPr>
                <w:rFonts w:hint="default"/>
              </w:rPr>
            </w:pPr>
          </w:p>
        </w:tc>
        <w:tc>
          <w:tcPr>
            <w:tcW w:w="787" w:type="dxa"/>
            <w:vMerge w:val="continue"/>
            <w:noWrap w:val="0"/>
            <w:vAlign w:val="center"/>
          </w:tcPr>
          <w:p w14:paraId="5A2ADAC7">
            <w:pPr>
              <w:pStyle w:val="8"/>
              <w:bidi w:val="0"/>
              <w:rPr>
                <w:rFonts w:hint="default"/>
              </w:rPr>
            </w:pPr>
          </w:p>
        </w:tc>
        <w:tc>
          <w:tcPr>
            <w:tcW w:w="920" w:type="dxa"/>
            <w:vMerge w:val="continue"/>
            <w:noWrap w:val="0"/>
            <w:vAlign w:val="center"/>
          </w:tcPr>
          <w:p w14:paraId="64ABE359">
            <w:pPr>
              <w:pStyle w:val="8"/>
              <w:bidi w:val="0"/>
              <w:rPr>
                <w:rFonts w:hint="default"/>
              </w:rPr>
            </w:pPr>
          </w:p>
        </w:tc>
        <w:tc>
          <w:tcPr>
            <w:tcW w:w="6392" w:type="dxa"/>
            <w:noWrap w:val="0"/>
            <w:vAlign w:val="center"/>
          </w:tcPr>
          <w:p w14:paraId="76E367E8">
            <w:pPr>
              <w:pStyle w:val="8"/>
              <w:bidi w:val="0"/>
              <w:jc w:val="left"/>
              <w:rPr>
                <w:rFonts w:hint="default"/>
              </w:rPr>
            </w:pPr>
            <w:r>
              <w:rPr>
                <w:rFonts w:hint="default"/>
              </w:rPr>
              <w:t>危险品仓库、有毒有害操作间、废弃物处理间等产生污染物的房间应独立设置。</w:t>
            </w:r>
          </w:p>
        </w:tc>
        <w:tc>
          <w:tcPr>
            <w:tcW w:w="2407" w:type="dxa"/>
            <w:noWrap w:val="0"/>
            <w:vAlign w:val="center"/>
          </w:tcPr>
          <w:p w14:paraId="1A99B07A">
            <w:pPr>
              <w:pStyle w:val="8"/>
              <w:bidi w:val="0"/>
              <w:rPr>
                <w:rFonts w:hint="default"/>
              </w:rPr>
            </w:pPr>
            <w:r>
              <w:rPr>
                <w:rFonts w:hint="default"/>
              </w:rPr>
              <w:t>　</w:t>
            </w:r>
          </w:p>
        </w:tc>
        <w:tc>
          <w:tcPr>
            <w:tcW w:w="1275" w:type="dxa"/>
            <w:vMerge w:val="continue"/>
            <w:noWrap w:val="0"/>
            <w:vAlign w:val="center"/>
          </w:tcPr>
          <w:p w14:paraId="26B90C9D">
            <w:pPr>
              <w:pStyle w:val="8"/>
              <w:bidi w:val="0"/>
              <w:rPr>
                <w:rFonts w:hint="default"/>
              </w:rPr>
            </w:pPr>
          </w:p>
        </w:tc>
        <w:tc>
          <w:tcPr>
            <w:tcW w:w="851" w:type="dxa"/>
            <w:noWrap w:val="0"/>
            <w:vAlign w:val="center"/>
          </w:tcPr>
          <w:p w14:paraId="1973635A">
            <w:pPr>
              <w:pStyle w:val="8"/>
              <w:bidi w:val="0"/>
              <w:rPr>
                <w:rFonts w:hint="default"/>
                <w:lang w:val="en-US" w:eastAsia="zh-CN"/>
              </w:rPr>
            </w:pPr>
            <w:r>
              <w:rPr>
                <w:rFonts w:hint="default"/>
                <w:lang w:val="en-US" w:eastAsia="zh-CN"/>
              </w:rPr>
              <w:t>3</w:t>
            </w:r>
          </w:p>
        </w:tc>
        <w:tc>
          <w:tcPr>
            <w:tcW w:w="711" w:type="dxa"/>
            <w:vMerge w:val="continue"/>
            <w:noWrap w:val="0"/>
            <w:vAlign w:val="center"/>
          </w:tcPr>
          <w:p w14:paraId="41FB2D19">
            <w:pPr>
              <w:pStyle w:val="8"/>
              <w:bidi w:val="0"/>
              <w:rPr>
                <w:rFonts w:hint="default"/>
              </w:rPr>
            </w:pPr>
          </w:p>
        </w:tc>
        <w:tc>
          <w:tcPr>
            <w:tcW w:w="770" w:type="dxa"/>
            <w:noWrap w:val="0"/>
            <w:vAlign w:val="center"/>
          </w:tcPr>
          <w:p w14:paraId="28084CCF">
            <w:pPr>
              <w:pStyle w:val="8"/>
              <w:bidi w:val="0"/>
              <w:rPr>
                <w:rFonts w:hint="default"/>
              </w:rPr>
            </w:pPr>
            <w:r>
              <w:rPr>
                <w:rFonts w:hint="default"/>
              </w:rPr>
              <w:t>　</w:t>
            </w:r>
          </w:p>
        </w:tc>
      </w:tr>
      <w:tr w14:paraId="034F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11FB3D75">
            <w:pPr>
              <w:pStyle w:val="8"/>
              <w:bidi w:val="0"/>
              <w:rPr>
                <w:rFonts w:hint="default"/>
              </w:rPr>
            </w:pPr>
          </w:p>
        </w:tc>
        <w:tc>
          <w:tcPr>
            <w:tcW w:w="787" w:type="dxa"/>
            <w:vMerge w:val="continue"/>
            <w:noWrap w:val="0"/>
            <w:vAlign w:val="center"/>
          </w:tcPr>
          <w:p w14:paraId="131EEEA9">
            <w:pPr>
              <w:pStyle w:val="8"/>
              <w:bidi w:val="0"/>
              <w:rPr>
                <w:rFonts w:hint="default"/>
              </w:rPr>
            </w:pPr>
          </w:p>
        </w:tc>
        <w:tc>
          <w:tcPr>
            <w:tcW w:w="920" w:type="dxa"/>
            <w:vMerge w:val="continue"/>
            <w:noWrap w:val="0"/>
            <w:vAlign w:val="center"/>
          </w:tcPr>
          <w:p w14:paraId="6942B1C7">
            <w:pPr>
              <w:pStyle w:val="8"/>
              <w:bidi w:val="0"/>
              <w:rPr>
                <w:rFonts w:hint="default"/>
              </w:rPr>
            </w:pPr>
          </w:p>
        </w:tc>
        <w:tc>
          <w:tcPr>
            <w:tcW w:w="6392" w:type="dxa"/>
            <w:noWrap w:val="0"/>
            <w:vAlign w:val="center"/>
          </w:tcPr>
          <w:p w14:paraId="0AA1ABE7">
            <w:pPr>
              <w:pStyle w:val="8"/>
              <w:bidi w:val="0"/>
              <w:jc w:val="left"/>
              <w:rPr>
                <w:rFonts w:hint="default"/>
              </w:rPr>
            </w:pPr>
            <w:r>
              <w:rPr>
                <w:rFonts w:hint="default"/>
              </w:rPr>
              <w:t>建筑材料：（1）选用蕴能低、高性能、高耐久性和本地建材，减少建材在全生命周期中的能源消耗；（2）室内装饰装修材料满足国家标准GB 18580～18588和《建筑材料放射性核素限量》GB 6566的要求。</w:t>
            </w:r>
          </w:p>
        </w:tc>
        <w:tc>
          <w:tcPr>
            <w:tcW w:w="2407" w:type="dxa"/>
            <w:noWrap w:val="0"/>
            <w:vAlign w:val="center"/>
          </w:tcPr>
          <w:p w14:paraId="6DC8ED89">
            <w:pPr>
              <w:pStyle w:val="8"/>
              <w:bidi w:val="0"/>
              <w:rPr>
                <w:rFonts w:hint="default"/>
              </w:rPr>
            </w:pPr>
            <w:r>
              <w:rPr>
                <w:rFonts w:hint="default"/>
              </w:rPr>
              <w:t>　</w:t>
            </w:r>
          </w:p>
        </w:tc>
        <w:tc>
          <w:tcPr>
            <w:tcW w:w="1275" w:type="dxa"/>
            <w:vMerge w:val="restart"/>
            <w:noWrap w:val="0"/>
            <w:vAlign w:val="center"/>
          </w:tcPr>
          <w:p w14:paraId="370BF69E">
            <w:pPr>
              <w:pStyle w:val="8"/>
              <w:bidi w:val="0"/>
              <w:rPr>
                <w:rFonts w:hint="default"/>
              </w:rPr>
            </w:pPr>
            <w:r>
              <w:rPr>
                <w:rFonts w:hint="default"/>
                <w:lang w:eastAsia="zh-CN"/>
              </w:rPr>
              <w:t>可选</w:t>
            </w:r>
          </w:p>
        </w:tc>
        <w:tc>
          <w:tcPr>
            <w:tcW w:w="851" w:type="dxa"/>
            <w:noWrap w:val="0"/>
            <w:vAlign w:val="center"/>
          </w:tcPr>
          <w:p w14:paraId="63CAA031">
            <w:pPr>
              <w:pStyle w:val="8"/>
              <w:bidi w:val="0"/>
              <w:rPr>
                <w:rFonts w:hint="default"/>
                <w:lang w:val="en-US" w:eastAsia="zh-CN"/>
              </w:rPr>
            </w:pPr>
            <w:r>
              <w:rPr>
                <w:rFonts w:hint="default"/>
                <w:lang w:val="en-US" w:eastAsia="zh-CN"/>
              </w:rPr>
              <w:t>4</w:t>
            </w:r>
          </w:p>
        </w:tc>
        <w:tc>
          <w:tcPr>
            <w:tcW w:w="711" w:type="dxa"/>
            <w:vMerge w:val="continue"/>
            <w:noWrap w:val="0"/>
            <w:vAlign w:val="center"/>
          </w:tcPr>
          <w:p w14:paraId="630D7DF9">
            <w:pPr>
              <w:pStyle w:val="8"/>
              <w:bidi w:val="0"/>
              <w:rPr>
                <w:rFonts w:hint="default"/>
              </w:rPr>
            </w:pPr>
          </w:p>
        </w:tc>
        <w:tc>
          <w:tcPr>
            <w:tcW w:w="770" w:type="dxa"/>
            <w:noWrap w:val="0"/>
            <w:vAlign w:val="center"/>
          </w:tcPr>
          <w:p w14:paraId="3F1DCC63">
            <w:pPr>
              <w:pStyle w:val="8"/>
              <w:bidi w:val="0"/>
              <w:rPr>
                <w:rFonts w:hint="default"/>
              </w:rPr>
            </w:pPr>
            <w:r>
              <w:rPr>
                <w:rFonts w:hint="default"/>
              </w:rPr>
              <w:t>　</w:t>
            </w:r>
          </w:p>
        </w:tc>
      </w:tr>
      <w:tr w14:paraId="74DD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C561F5E">
            <w:pPr>
              <w:pStyle w:val="8"/>
              <w:bidi w:val="0"/>
              <w:rPr>
                <w:rFonts w:hint="default"/>
              </w:rPr>
            </w:pPr>
          </w:p>
        </w:tc>
        <w:tc>
          <w:tcPr>
            <w:tcW w:w="787" w:type="dxa"/>
            <w:vMerge w:val="continue"/>
            <w:noWrap w:val="0"/>
            <w:vAlign w:val="center"/>
          </w:tcPr>
          <w:p w14:paraId="30FC303E">
            <w:pPr>
              <w:pStyle w:val="8"/>
              <w:bidi w:val="0"/>
              <w:rPr>
                <w:rFonts w:hint="default"/>
              </w:rPr>
            </w:pPr>
          </w:p>
        </w:tc>
        <w:tc>
          <w:tcPr>
            <w:tcW w:w="920" w:type="dxa"/>
            <w:vMerge w:val="continue"/>
            <w:noWrap w:val="0"/>
            <w:vAlign w:val="center"/>
          </w:tcPr>
          <w:p w14:paraId="111FDA3C">
            <w:pPr>
              <w:pStyle w:val="8"/>
              <w:bidi w:val="0"/>
              <w:rPr>
                <w:rFonts w:hint="default"/>
              </w:rPr>
            </w:pPr>
          </w:p>
        </w:tc>
        <w:tc>
          <w:tcPr>
            <w:tcW w:w="6392" w:type="dxa"/>
            <w:noWrap w:val="0"/>
            <w:vAlign w:val="center"/>
          </w:tcPr>
          <w:p w14:paraId="0ACB3DA7">
            <w:pPr>
              <w:pStyle w:val="8"/>
              <w:bidi w:val="0"/>
              <w:jc w:val="left"/>
              <w:rPr>
                <w:rFonts w:hint="default"/>
              </w:rPr>
            </w:pPr>
            <w:r>
              <w:rPr>
                <w:rFonts w:hint="default"/>
              </w:rPr>
              <w:t>建筑结构：采用钢结构、砌体结构和木结构等资源消耗和环境影响小的建筑结构体系。</w:t>
            </w:r>
          </w:p>
        </w:tc>
        <w:tc>
          <w:tcPr>
            <w:tcW w:w="2407" w:type="dxa"/>
            <w:noWrap w:val="0"/>
            <w:vAlign w:val="center"/>
          </w:tcPr>
          <w:p w14:paraId="744619FF">
            <w:pPr>
              <w:pStyle w:val="8"/>
              <w:bidi w:val="0"/>
              <w:rPr>
                <w:rFonts w:hint="default"/>
              </w:rPr>
            </w:pPr>
            <w:r>
              <w:rPr>
                <w:rFonts w:hint="default"/>
              </w:rPr>
              <w:t>　</w:t>
            </w:r>
          </w:p>
        </w:tc>
        <w:tc>
          <w:tcPr>
            <w:tcW w:w="1275" w:type="dxa"/>
            <w:vMerge w:val="continue"/>
            <w:noWrap w:val="0"/>
            <w:vAlign w:val="center"/>
          </w:tcPr>
          <w:p w14:paraId="26D23F80">
            <w:pPr>
              <w:pStyle w:val="8"/>
              <w:bidi w:val="0"/>
              <w:rPr>
                <w:rFonts w:hint="default"/>
              </w:rPr>
            </w:pPr>
          </w:p>
        </w:tc>
        <w:tc>
          <w:tcPr>
            <w:tcW w:w="851" w:type="dxa"/>
            <w:noWrap w:val="0"/>
            <w:vAlign w:val="center"/>
          </w:tcPr>
          <w:p w14:paraId="309F973A">
            <w:pPr>
              <w:pStyle w:val="8"/>
              <w:bidi w:val="0"/>
              <w:rPr>
                <w:rFonts w:hint="default"/>
                <w:lang w:val="en-US" w:eastAsia="zh-CN"/>
              </w:rPr>
            </w:pPr>
            <w:r>
              <w:rPr>
                <w:rFonts w:hint="default"/>
                <w:lang w:val="en-US" w:eastAsia="zh-CN"/>
              </w:rPr>
              <w:t>4</w:t>
            </w:r>
          </w:p>
        </w:tc>
        <w:tc>
          <w:tcPr>
            <w:tcW w:w="711" w:type="dxa"/>
            <w:vMerge w:val="continue"/>
            <w:noWrap w:val="0"/>
            <w:vAlign w:val="center"/>
          </w:tcPr>
          <w:p w14:paraId="2282785C">
            <w:pPr>
              <w:pStyle w:val="8"/>
              <w:bidi w:val="0"/>
              <w:rPr>
                <w:rFonts w:hint="default"/>
              </w:rPr>
            </w:pPr>
          </w:p>
        </w:tc>
        <w:tc>
          <w:tcPr>
            <w:tcW w:w="770" w:type="dxa"/>
            <w:noWrap w:val="0"/>
            <w:vAlign w:val="center"/>
          </w:tcPr>
          <w:p w14:paraId="3A80ED04">
            <w:pPr>
              <w:pStyle w:val="8"/>
              <w:bidi w:val="0"/>
              <w:rPr>
                <w:rFonts w:hint="default"/>
              </w:rPr>
            </w:pPr>
            <w:r>
              <w:rPr>
                <w:rFonts w:hint="default"/>
              </w:rPr>
              <w:t>　</w:t>
            </w:r>
          </w:p>
        </w:tc>
      </w:tr>
      <w:tr w14:paraId="0365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C8974E3">
            <w:pPr>
              <w:pStyle w:val="8"/>
              <w:bidi w:val="0"/>
              <w:rPr>
                <w:rFonts w:hint="default"/>
              </w:rPr>
            </w:pPr>
          </w:p>
        </w:tc>
        <w:tc>
          <w:tcPr>
            <w:tcW w:w="787" w:type="dxa"/>
            <w:vMerge w:val="continue"/>
            <w:noWrap w:val="0"/>
            <w:vAlign w:val="center"/>
          </w:tcPr>
          <w:p w14:paraId="07D8634C">
            <w:pPr>
              <w:pStyle w:val="8"/>
              <w:bidi w:val="0"/>
              <w:rPr>
                <w:rFonts w:hint="default"/>
              </w:rPr>
            </w:pPr>
          </w:p>
        </w:tc>
        <w:tc>
          <w:tcPr>
            <w:tcW w:w="920" w:type="dxa"/>
            <w:vMerge w:val="continue"/>
            <w:noWrap w:val="0"/>
            <w:vAlign w:val="center"/>
          </w:tcPr>
          <w:p w14:paraId="322F4823">
            <w:pPr>
              <w:pStyle w:val="8"/>
              <w:bidi w:val="0"/>
              <w:rPr>
                <w:rFonts w:hint="default"/>
              </w:rPr>
            </w:pPr>
          </w:p>
        </w:tc>
        <w:tc>
          <w:tcPr>
            <w:tcW w:w="6392" w:type="dxa"/>
            <w:noWrap w:val="0"/>
            <w:vAlign w:val="center"/>
          </w:tcPr>
          <w:p w14:paraId="5062E696">
            <w:pPr>
              <w:pStyle w:val="8"/>
              <w:bidi w:val="0"/>
              <w:jc w:val="left"/>
              <w:rPr>
                <w:rFonts w:hint="default"/>
              </w:rPr>
            </w:pPr>
            <w:r>
              <w:rPr>
                <w:rFonts w:hint="default"/>
              </w:rPr>
              <w:t>绿化及场地：（1）场地内设置可遮荫避雨的步行连廊。（2）厂区绿化适宜，优先种植乡土植物，采用少维护、耐候性强的植物，减少日常维护的费用。（3）室外透水地面面积占室外总面积的比例不小于30%。</w:t>
            </w:r>
          </w:p>
        </w:tc>
        <w:tc>
          <w:tcPr>
            <w:tcW w:w="2407" w:type="dxa"/>
            <w:noWrap w:val="0"/>
            <w:vAlign w:val="center"/>
          </w:tcPr>
          <w:p w14:paraId="397C495F">
            <w:pPr>
              <w:pStyle w:val="8"/>
              <w:bidi w:val="0"/>
              <w:rPr>
                <w:rFonts w:hint="default"/>
              </w:rPr>
            </w:pPr>
            <w:r>
              <w:rPr>
                <w:rFonts w:hint="default"/>
              </w:rPr>
              <w:t>　</w:t>
            </w:r>
          </w:p>
        </w:tc>
        <w:tc>
          <w:tcPr>
            <w:tcW w:w="1275" w:type="dxa"/>
            <w:vMerge w:val="continue"/>
            <w:noWrap w:val="0"/>
            <w:vAlign w:val="center"/>
          </w:tcPr>
          <w:p w14:paraId="39BC7A2B">
            <w:pPr>
              <w:pStyle w:val="8"/>
              <w:bidi w:val="0"/>
              <w:rPr>
                <w:rFonts w:hint="default"/>
              </w:rPr>
            </w:pPr>
          </w:p>
        </w:tc>
        <w:tc>
          <w:tcPr>
            <w:tcW w:w="851" w:type="dxa"/>
            <w:noWrap w:val="0"/>
            <w:vAlign w:val="center"/>
          </w:tcPr>
          <w:p w14:paraId="40696130">
            <w:pPr>
              <w:pStyle w:val="8"/>
              <w:bidi w:val="0"/>
              <w:rPr>
                <w:rFonts w:hint="default"/>
                <w:lang w:val="en-US" w:eastAsia="zh-CN"/>
              </w:rPr>
            </w:pPr>
            <w:r>
              <w:rPr>
                <w:rFonts w:hint="default"/>
                <w:lang w:val="en-US" w:eastAsia="zh-CN"/>
              </w:rPr>
              <w:t>4</w:t>
            </w:r>
          </w:p>
        </w:tc>
        <w:tc>
          <w:tcPr>
            <w:tcW w:w="711" w:type="dxa"/>
            <w:vMerge w:val="continue"/>
            <w:noWrap w:val="0"/>
            <w:vAlign w:val="center"/>
          </w:tcPr>
          <w:p w14:paraId="780AE4C9">
            <w:pPr>
              <w:pStyle w:val="8"/>
              <w:bidi w:val="0"/>
              <w:rPr>
                <w:rFonts w:hint="default"/>
              </w:rPr>
            </w:pPr>
          </w:p>
        </w:tc>
        <w:tc>
          <w:tcPr>
            <w:tcW w:w="770" w:type="dxa"/>
            <w:noWrap w:val="0"/>
            <w:vAlign w:val="center"/>
          </w:tcPr>
          <w:p w14:paraId="0CF877F6">
            <w:pPr>
              <w:pStyle w:val="8"/>
              <w:bidi w:val="0"/>
              <w:rPr>
                <w:rFonts w:hint="default"/>
              </w:rPr>
            </w:pPr>
            <w:r>
              <w:rPr>
                <w:rFonts w:hint="default"/>
              </w:rPr>
              <w:t>　</w:t>
            </w:r>
          </w:p>
        </w:tc>
      </w:tr>
      <w:tr w14:paraId="528D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BEB597A">
            <w:pPr>
              <w:pStyle w:val="8"/>
              <w:bidi w:val="0"/>
              <w:rPr>
                <w:rFonts w:hint="default"/>
              </w:rPr>
            </w:pPr>
          </w:p>
        </w:tc>
        <w:tc>
          <w:tcPr>
            <w:tcW w:w="787" w:type="dxa"/>
            <w:vMerge w:val="continue"/>
            <w:noWrap w:val="0"/>
            <w:vAlign w:val="center"/>
          </w:tcPr>
          <w:p w14:paraId="78CCF545">
            <w:pPr>
              <w:pStyle w:val="8"/>
              <w:bidi w:val="0"/>
              <w:rPr>
                <w:rFonts w:hint="default"/>
              </w:rPr>
            </w:pPr>
          </w:p>
        </w:tc>
        <w:tc>
          <w:tcPr>
            <w:tcW w:w="920" w:type="dxa"/>
            <w:vMerge w:val="continue"/>
            <w:noWrap w:val="0"/>
            <w:vAlign w:val="center"/>
          </w:tcPr>
          <w:p w14:paraId="2AF37989">
            <w:pPr>
              <w:pStyle w:val="8"/>
              <w:bidi w:val="0"/>
              <w:rPr>
                <w:rFonts w:hint="default"/>
              </w:rPr>
            </w:pPr>
          </w:p>
        </w:tc>
        <w:tc>
          <w:tcPr>
            <w:tcW w:w="6392" w:type="dxa"/>
            <w:noWrap w:val="0"/>
            <w:vAlign w:val="center"/>
          </w:tcPr>
          <w:p w14:paraId="000E4AB2">
            <w:pPr>
              <w:pStyle w:val="8"/>
              <w:bidi w:val="0"/>
              <w:jc w:val="left"/>
              <w:rPr>
                <w:rFonts w:hint="default"/>
              </w:rPr>
            </w:pPr>
            <w:r>
              <w:rPr>
                <w:rFonts w:hint="default"/>
              </w:rPr>
              <w:t>再生资源及能源利用：（1）可再生能源的使用占建筑总能耗的比例大于10%；（2）采用节水器具和设备，节水率不低于10%。</w:t>
            </w:r>
          </w:p>
        </w:tc>
        <w:tc>
          <w:tcPr>
            <w:tcW w:w="2407" w:type="dxa"/>
            <w:noWrap w:val="0"/>
            <w:vAlign w:val="center"/>
          </w:tcPr>
          <w:p w14:paraId="7D189707">
            <w:pPr>
              <w:pStyle w:val="8"/>
              <w:bidi w:val="0"/>
              <w:rPr>
                <w:rFonts w:hint="default"/>
              </w:rPr>
            </w:pPr>
            <w:r>
              <w:rPr>
                <w:rFonts w:hint="default"/>
              </w:rPr>
              <w:t>　</w:t>
            </w:r>
          </w:p>
        </w:tc>
        <w:tc>
          <w:tcPr>
            <w:tcW w:w="1275" w:type="dxa"/>
            <w:vMerge w:val="continue"/>
            <w:noWrap w:val="0"/>
            <w:vAlign w:val="center"/>
          </w:tcPr>
          <w:p w14:paraId="3C19371A">
            <w:pPr>
              <w:pStyle w:val="8"/>
              <w:bidi w:val="0"/>
              <w:rPr>
                <w:rFonts w:hint="default"/>
              </w:rPr>
            </w:pPr>
          </w:p>
        </w:tc>
        <w:tc>
          <w:tcPr>
            <w:tcW w:w="851" w:type="dxa"/>
            <w:noWrap w:val="0"/>
            <w:vAlign w:val="center"/>
          </w:tcPr>
          <w:p w14:paraId="47A64B7B">
            <w:pPr>
              <w:pStyle w:val="8"/>
              <w:bidi w:val="0"/>
              <w:rPr>
                <w:rFonts w:hint="default"/>
                <w:lang w:val="en-US" w:eastAsia="zh-CN"/>
              </w:rPr>
            </w:pPr>
            <w:r>
              <w:rPr>
                <w:rFonts w:hint="default"/>
                <w:lang w:val="en-US" w:eastAsia="zh-CN"/>
              </w:rPr>
              <w:t>4</w:t>
            </w:r>
          </w:p>
        </w:tc>
        <w:tc>
          <w:tcPr>
            <w:tcW w:w="711" w:type="dxa"/>
            <w:vMerge w:val="continue"/>
            <w:noWrap w:val="0"/>
            <w:vAlign w:val="center"/>
          </w:tcPr>
          <w:p w14:paraId="7530E6F6">
            <w:pPr>
              <w:pStyle w:val="8"/>
              <w:bidi w:val="0"/>
              <w:rPr>
                <w:rFonts w:hint="default"/>
              </w:rPr>
            </w:pPr>
          </w:p>
        </w:tc>
        <w:tc>
          <w:tcPr>
            <w:tcW w:w="770" w:type="dxa"/>
            <w:noWrap w:val="0"/>
            <w:vAlign w:val="center"/>
          </w:tcPr>
          <w:p w14:paraId="4A882FF3">
            <w:pPr>
              <w:pStyle w:val="8"/>
              <w:bidi w:val="0"/>
              <w:rPr>
                <w:rFonts w:hint="default"/>
              </w:rPr>
            </w:pPr>
            <w:r>
              <w:rPr>
                <w:rFonts w:hint="default"/>
              </w:rPr>
              <w:t>　</w:t>
            </w:r>
          </w:p>
        </w:tc>
      </w:tr>
      <w:tr w14:paraId="2AB1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3BED386">
            <w:pPr>
              <w:pStyle w:val="8"/>
              <w:bidi w:val="0"/>
              <w:rPr>
                <w:rFonts w:hint="default"/>
              </w:rPr>
            </w:pPr>
          </w:p>
        </w:tc>
        <w:tc>
          <w:tcPr>
            <w:tcW w:w="787" w:type="dxa"/>
            <w:vMerge w:val="continue"/>
            <w:noWrap w:val="0"/>
            <w:vAlign w:val="center"/>
          </w:tcPr>
          <w:p w14:paraId="573B99A1">
            <w:pPr>
              <w:pStyle w:val="8"/>
              <w:bidi w:val="0"/>
              <w:rPr>
                <w:rFonts w:hint="default"/>
              </w:rPr>
            </w:pPr>
          </w:p>
        </w:tc>
        <w:tc>
          <w:tcPr>
            <w:tcW w:w="920" w:type="dxa"/>
            <w:vMerge w:val="continue"/>
            <w:noWrap w:val="0"/>
            <w:vAlign w:val="center"/>
          </w:tcPr>
          <w:p w14:paraId="3C6C95A3">
            <w:pPr>
              <w:pStyle w:val="8"/>
              <w:bidi w:val="0"/>
              <w:rPr>
                <w:rFonts w:hint="default"/>
              </w:rPr>
            </w:pPr>
          </w:p>
        </w:tc>
        <w:tc>
          <w:tcPr>
            <w:tcW w:w="6392" w:type="dxa"/>
            <w:noWrap w:val="0"/>
            <w:vAlign w:val="center"/>
          </w:tcPr>
          <w:p w14:paraId="48E67C70">
            <w:pPr>
              <w:pStyle w:val="8"/>
              <w:bidi w:val="0"/>
              <w:jc w:val="left"/>
              <w:rPr>
                <w:rFonts w:hint="default"/>
              </w:rPr>
            </w:pPr>
            <w:r>
              <w:rPr>
                <w:rFonts w:hint="default"/>
              </w:rPr>
              <w:t>适用时，工厂的厂房采用多层建筑。</w:t>
            </w:r>
          </w:p>
        </w:tc>
        <w:tc>
          <w:tcPr>
            <w:tcW w:w="2407" w:type="dxa"/>
            <w:noWrap w:val="0"/>
            <w:vAlign w:val="center"/>
          </w:tcPr>
          <w:p w14:paraId="0013A7EC">
            <w:pPr>
              <w:pStyle w:val="8"/>
              <w:bidi w:val="0"/>
              <w:rPr>
                <w:rFonts w:hint="default"/>
              </w:rPr>
            </w:pPr>
            <w:r>
              <w:rPr>
                <w:rFonts w:hint="default"/>
              </w:rPr>
              <w:t>　</w:t>
            </w:r>
          </w:p>
        </w:tc>
        <w:tc>
          <w:tcPr>
            <w:tcW w:w="1275" w:type="dxa"/>
            <w:vMerge w:val="continue"/>
            <w:noWrap w:val="0"/>
            <w:vAlign w:val="center"/>
          </w:tcPr>
          <w:p w14:paraId="37FBB8FD">
            <w:pPr>
              <w:pStyle w:val="8"/>
              <w:bidi w:val="0"/>
              <w:rPr>
                <w:rFonts w:hint="default"/>
              </w:rPr>
            </w:pPr>
          </w:p>
        </w:tc>
        <w:tc>
          <w:tcPr>
            <w:tcW w:w="851" w:type="dxa"/>
            <w:noWrap w:val="0"/>
            <w:vAlign w:val="center"/>
          </w:tcPr>
          <w:p w14:paraId="1A65A549">
            <w:pPr>
              <w:pStyle w:val="8"/>
              <w:bidi w:val="0"/>
              <w:rPr>
                <w:rFonts w:hint="default"/>
                <w:lang w:val="en-US" w:eastAsia="zh-CN"/>
              </w:rPr>
            </w:pPr>
            <w:r>
              <w:rPr>
                <w:rFonts w:hint="default"/>
                <w:lang w:val="en-US" w:eastAsia="zh-CN"/>
              </w:rPr>
              <w:t>4</w:t>
            </w:r>
          </w:p>
        </w:tc>
        <w:tc>
          <w:tcPr>
            <w:tcW w:w="711" w:type="dxa"/>
            <w:vMerge w:val="continue"/>
            <w:noWrap w:val="0"/>
            <w:vAlign w:val="center"/>
          </w:tcPr>
          <w:p w14:paraId="039FAFCD">
            <w:pPr>
              <w:pStyle w:val="8"/>
              <w:bidi w:val="0"/>
              <w:rPr>
                <w:rFonts w:hint="default"/>
              </w:rPr>
            </w:pPr>
          </w:p>
        </w:tc>
        <w:tc>
          <w:tcPr>
            <w:tcW w:w="770" w:type="dxa"/>
            <w:noWrap w:val="0"/>
            <w:vAlign w:val="center"/>
          </w:tcPr>
          <w:p w14:paraId="28F86D56">
            <w:pPr>
              <w:pStyle w:val="8"/>
              <w:bidi w:val="0"/>
              <w:rPr>
                <w:rFonts w:hint="default"/>
              </w:rPr>
            </w:pPr>
            <w:r>
              <w:rPr>
                <w:rFonts w:hint="default"/>
              </w:rPr>
              <w:t>　</w:t>
            </w:r>
          </w:p>
        </w:tc>
      </w:tr>
      <w:tr w14:paraId="6D0A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43E95F8">
            <w:pPr>
              <w:pStyle w:val="8"/>
              <w:bidi w:val="0"/>
              <w:rPr>
                <w:rFonts w:hint="default"/>
              </w:rPr>
            </w:pPr>
          </w:p>
        </w:tc>
        <w:tc>
          <w:tcPr>
            <w:tcW w:w="787" w:type="dxa"/>
            <w:vMerge w:val="continue"/>
            <w:noWrap w:val="0"/>
            <w:vAlign w:val="center"/>
          </w:tcPr>
          <w:p w14:paraId="5DB879E6">
            <w:pPr>
              <w:pStyle w:val="8"/>
              <w:bidi w:val="0"/>
              <w:rPr>
                <w:rFonts w:hint="default"/>
              </w:rPr>
            </w:pPr>
          </w:p>
        </w:tc>
        <w:tc>
          <w:tcPr>
            <w:tcW w:w="920" w:type="dxa"/>
            <w:vMerge w:val="restart"/>
            <w:noWrap w:val="0"/>
            <w:vAlign w:val="center"/>
          </w:tcPr>
          <w:p w14:paraId="088C5079">
            <w:pPr>
              <w:pStyle w:val="8"/>
              <w:bidi w:val="0"/>
              <w:rPr>
                <w:rFonts w:hint="default"/>
              </w:rPr>
            </w:pPr>
            <w:r>
              <w:rPr>
                <w:rFonts w:hint="default"/>
              </w:rPr>
              <w:t>照明</w:t>
            </w:r>
          </w:p>
        </w:tc>
        <w:tc>
          <w:tcPr>
            <w:tcW w:w="6392" w:type="dxa"/>
            <w:noWrap w:val="0"/>
            <w:vAlign w:val="center"/>
          </w:tcPr>
          <w:p w14:paraId="61902AE5">
            <w:pPr>
              <w:pStyle w:val="8"/>
              <w:bidi w:val="0"/>
              <w:jc w:val="left"/>
              <w:rPr>
                <w:rFonts w:hint="default"/>
              </w:rPr>
            </w:pPr>
            <w:r>
              <w:rPr>
                <w:rFonts w:hint="default"/>
                <w:lang w:eastAsia="zh-CN"/>
              </w:rPr>
              <w:t>人工照明</w:t>
            </w:r>
            <w:r>
              <w:rPr>
                <w:rFonts w:hint="default"/>
              </w:rPr>
              <w:t>应符合GB 50034规定。</w:t>
            </w:r>
          </w:p>
        </w:tc>
        <w:tc>
          <w:tcPr>
            <w:tcW w:w="2407" w:type="dxa"/>
            <w:noWrap w:val="0"/>
            <w:vAlign w:val="center"/>
          </w:tcPr>
          <w:p w14:paraId="60B37BCC">
            <w:pPr>
              <w:pStyle w:val="8"/>
              <w:bidi w:val="0"/>
              <w:rPr>
                <w:rFonts w:hint="default"/>
              </w:rPr>
            </w:pPr>
            <w:r>
              <w:rPr>
                <w:rFonts w:hint="default"/>
              </w:rPr>
              <w:t>　</w:t>
            </w:r>
          </w:p>
        </w:tc>
        <w:tc>
          <w:tcPr>
            <w:tcW w:w="1275" w:type="dxa"/>
            <w:vMerge w:val="restart"/>
            <w:noWrap w:val="0"/>
            <w:vAlign w:val="center"/>
          </w:tcPr>
          <w:p w14:paraId="30771A8E">
            <w:pPr>
              <w:pStyle w:val="8"/>
              <w:bidi w:val="0"/>
              <w:rPr>
                <w:rFonts w:hint="default"/>
              </w:rPr>
            </w:pPr>
            <w:r>
              <w:rPr>
                <w:rFonts w:hint="default"/>
                <w:lang w:eastAsia="zh-CN"/>
              </w:rPr>
              <w:t>必选</w:t>
            </w:r>
          </w:p>
        </w:tc>
        <w:tc>
          <w:tcPr>
            <w:tcW w:w="851" w:type="dxa"/>
            <w:noWrap w:val="0"/>
            <w:vAlign w:val="center"/>
          </w:tcPr>
          <w:p w14:paraId="61E12F96">
            <w:pPr>
              <w:pStyle w:val="8"/>
              <w:bidi w:val="0"/>
              <w:rPr>
                <w:rFonts w:hint="default"/>
                <w:lang w:val="en-US" w:eastAsia="zh-CN"/>
              </w:rPr>
            </w:pPr>
            <w:r>
              <w:rPr>
                <w:rFonts w:hint="default"/>
                <w:lang w:val="en-US" w:eastAsia="zh-CN"/>
              </w:rPr>
              <w:t>7</w:t>
            </w:r>
          </w:p>
        </w:tc>
        <w:tc>
          <w:tcPr>
            <w:tcW w:w="711" w:type="dxa"/>
            <w:vMerge w:val="continue"/>
            <w:noWrap w:val="0"/>
            <w:vAlign w:val="center"/>
          </w:tcPr>
          <w:p w14:paraId="5BD36B2C">
            <w:pPr>
              <w:pStyle w:val="8"/>
              <w:bidi w:val="0"/>
              <w:rPr>
                <w:rFonts w:hint="default"/>
              </w:rPr>
            </w:pPr>
          </w:p>
        </w:tc>
        <w:tc>
          <w:tcPr>
            <w:tcW w:w="770" w:type="dxa"/>
            <w:noWrap w:val="0"/>
            <w:vAlign w:val="center"/>
          </w:tcPr>
          <w:p w14:paraId="502F105F">
            <w:pPr>
              <w:pStyle w:val="8"/>
              <w:bidi w:val="0"/>
              <w:rPr>
                <w:rFonts w:hint="default"/>
              </w:rPr>
            </w:pPr>
            <w:r>
              <w:rPr>
                <w:rFonts w:hint="default"/>
              </w:rPr>
              <w:t>　</w:t>
            </w:r>
          </w:p>
        </w:tc>
      </w:tr>
      <w:tr w14:paraId="54E4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5E3F25CA">
            <w:pPr>
              <w:pStyle w:val="8"/>
              <w:bidi w:val="0"/>
              <w:rPr>
                <w:rFonts w:hint="default"/>
              </w:rPr>
            </w:pPr>
          </w:p>
        </w:tc>
        <w:tc>
          <w:tcPr>
            <w:tcW w:w="787" w:type="dxa"/>
            <w:vMerge w:val="continue"/>
            <w:noWrap w:val="0"/>
            <w:vAlign w:val="center"/>
          </w:tcPr>
          <w:p w14:paraId="2EE2405F">
            <w:pPr>
              <w:pStyle w:val="8"/>
              <w:bidi w:val="0"/>
              <w:rPr>
                <w:rFonts w:hint="default"/>
              </w:rPr>
            </w:pPr>
          </w:p>
        </w:tc>
        <w:tc>
          <w:tcPr>
            <w:tcW w:w="920" w:type="dxa"/>
            <w:vMerge w:val="continue"/>
            <w:noWrap w:val="0"/>
            <w:vAlign w:val="center"/>
          </w:tcPr>
          <w:p w14:paraId="046B884A">
            <w:pPr>
              <w:pStyle w:val="8"/>
              <w:bidi w:val="0"/>
              <w:rPr>
                <w:rFonts w:hint="default"/>
              </w:rPr>
            </w:pPr>
          </w:p>
        </w:tc>
        <w:tc>
          <w:tcPr>
            <w:tcW w:w="6392" w:type="dxa"/>
            <w:noWrap w:val="0"/>
            <w:vAlign w:val="center"/>
          </w:tcPr>
          <w:p w14:paraId="7C915CFF">
            <w:pPr>
              <w:pStyle w:val="8"/>
              <w:bidi w:val="0"/>
              <w:jc w:val="left"/>
              <w:rPr>
                <w:rFonts w:hint="default"/>
              </w:rPr>
            </w:pPr>
            <w:r>
              <w:rPr>
                <w:rFonts w:hint="default"/>
                <w:lang w:eastAsia="zh-CN"/>
              </w:rPr>
              <w:t>不同场所的照明应进行分级设计。</w:t>
            </w:r>
          </w:p>
        </w:tc>
        <w:tc>
          <w:tcPr>
            <w:tcW w:w="2407" w:type="dxa"/>
            <w:noWrap w:val="0"/>
            <w:vAlign w:val="center"/>
          </w:tcPr>
          <w:p w14:paraId="5B4762E0">
            <w:pPr>
              <w:pStyle w:val="8"/>
              <w:bidi w:val="0"/>
              <w:rPr>
                <w:rFonts w:hint="default"/>
              </w:rPr>
            </w:pPr>
            <w:r>
              <w:rPr>
                <w:rFonts w:hint="default"/>
              </w:rPr>
              <w:t>　</w:t>
            </w:r>
          </w:p>
        </w:tc>
        <w:tc>
          <w:tcPr>
            <w:tcW w:w="1275" w:type="dxa"/>
            <w:vMerge w:val="continue"/>
            <w:noWrap w:val="0"/>
            <w:vAlign w:val="center"/>
          </w:tcPr>
          <w:p w14:paraId="46DEB7B7">
            <w:pPr>
              <w:pStyle w:val="8"/>
              <w:bidi w:val="0"/>
              <w:rPr>
                <w:rFonts w:hint="default"/>
              </w:rPr>
            </w:pPr>
          </w:p>
        </w:tc>
        <w:tc>
          <w:tcPr>
            <w:tcW w:w="851" w:type="dxa"/>
            <w:noWrap w:val="0"/>
            <w:vAlign w:val="center"/>
          </w:tcPr>
          <w:p w14:paraId="63D80F09">
            <w:pPr>
              <w:pStyle w:val="8"/>
              <w:bidi w:val="0"/>
              <w:rPr>
                <w:rFonts w:hint="default"/>
                <w:lang w:val="en-US" w:eastAsia="zh-CN"/>
              </w:rPr>
            </w:pPr>
            <w:r>
              <w:rPr>
                <w:rFonts w:hint="default"/>
                <w:lang w:val="en-US" w:eastAsia="zh-CN"/>
              </w:rPr>
              <w:t>3</w:t>
            </w:r>
          </w:p>
        </w:tc>
        <w:tc>
          <w:tcPr>
            <w:tcW w:w="711" w:type="dxa"/>
            <w:vMerge w:val="continue"/>
            <w:noWrap w:val="0"/>
            <w:vAlign w:val="center"/>
          </w:tcPr>
          <w:p w14:paraId="7BE3B0D8">
            <w:pPr>
              <w:pStyle w:val="8"/>
              <w:bidi w:val="0"/>
              <w:rPr>
                <w:rFonts w:hint="default"/>
              </w:rPr>
            </w:pPr>
          </w:p>
        </w:tc>
        <w:tc>
          <w:tcPr>
            <w:tcW w:w="770" w:type="dxa"/>
            <w:noWrap w:val="0"/>
            <w:vAlign w:val="center"/>
          </w:tcPr>
          <w:p w14:paraId="3BE49D41">
            <w:pPr>
              <w:pStyle w:val="8"/>
              <w:bidi w:val="0"/>
              <w:rPr>
                <w:rFonts w:hint="default"/>
              </w:rPr>
            </w:pPr>
          </w:p>
        </w:tc>
      </w:tr>
      <w:tr w14:paraId="3CFE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D355232">
            <w:pPr>
              <w:pStyle w:val="8"/>
              <w:bidi w:val="0"/>
              <w:rPr>
                <w:rFonts w:hint="default"/>
              </w:rPr>
            </w:pPr>
          </w:p>
        </w:tc>
        <w:tc>
          <w:tcPr>
            <w:tcW w:w="787" w:type="dxa"/>
            <w:vMerge w:val="continue"/>
            <w:noWrap w:val="0"/>
            <w:vAlign w:val="center"/>
          </w:tcPr>
          <w:p w14:paraId="042DE7F2">
            <w:pPr>
              <w:pStyle w:val="8"/>
              <w:bidi w:val="0"/>
              <w:rPr>
                <w:rFonts w:hint="default"/>
              </w:rPr>
            </w:pPr>
          </w:p>
        </w:tc>
        <w:tc>
          <w:tcPr>
            <w:tcW w:w="920" w:type="dxa"/>
            <w:vMerge w:val="continue"/>
            <w:noWrap w:val="0"/>
            <w:vAlign w:val="center"/>
          </w:tcPr>
          <w:p w14:paraId="6D6F69F6">
            <w:pPr>
              <w:pStyle w:val="8"/>
              <w:bidi w:val="0"/>
              <w:rPr>
                <w:rFonts w:hint="default"/>
              </w:rPr>
            </w:pPr>
          </w:p>
        </w:tc>
        <w:tc>
          <w:tcPr>
            <w:tcW w:w="6392" w:type="dxa"/>
            <w:noWrap w:val="0"/>
            <w:vAlign w:val="center"/>
          </w:tcPr>
          <w:p w14:paraId="70F64EDC">
            <w:pPr>
              <w:pStyle w:val="8"/>
              <w:bidi w:val="0"/>
              <w:jc w:val="left"/>
              <w:rPr>
                <w:rFonts w:hint="default"/>
              </w:rPr>
            </w:pPr>
            <w:r>
              <w:rPr>
                <w:rFonts w:hint="default"/>
              </w:rPr>
              <w:t>工厂厂区及各房间或场所的照明尽量利用自然光。</w:t>
            </w:r>
          </w:p>
        </w:tc>
        <w:tc>
          <w:tcPr>
            <w:tcW w:w="2407" w:type="dxa"/>
            <w:noWrap w:val="0"/>
            <w:vAlign w:val="center"/>
          </w:tcPr>
          <w:p w14:paraId="66900BD5">
            <w:pPr>
              <w:pStyle w:val="8"/>
              <w:bidi w:val="0"/>
              <w:rPr>
                <w:rFonts w:hint="default"/>
              </w:rPr>
            </w:pPr>
            <w:r>
              <w:rPr>
                <w:rFonts w:hint="default"/>
              </w:rPr>
              <w:t>　</w:t>
            </w:r>
          </w:p>
        </w:tc>
        <w:tc>
          <w:tcPr>
            <w:tcW w:w="1275" w:type="dxa"/>
            <w:vMerge w:val="restart"/>
            <w:noWrap w:val="0"/>
            <w:vAlign w:val="center"/>
          </w:tcPr>
          <w:p w14:paraId="53CFA38D">
            <w:pPr>
              <w:pStyle w:val="8"/>
              <w:bidi w:val="0"/>
              <w:rPr>
                <w:rFonts w:hint="default"/>
              </w:rPr>
            </w:pPr>
            <w:r>
              <w:rPr>
                <w:rFonts w:hint="default"/>
                <w:lang w:eastAsia="zh-CN"/>
              </w:rPr>
              <w:t>可选</w:t>
            </w:r>
          </w:p>
        </w:tc>
        <w:tc>
          <w:tcPr>
            <w:tcW w:w="851" w:type="dxa"/>
            <w:noWrap w:val="0"/>
            <w:vAlign w:val="center"/>
          </w:tcPr>
          <w:p w14:paraId="56239A0E">
            <w:pPr>
              <w:pStyle w:val="8"/>
              <w:bidi w:val="0"/>
              <w:rPr>
                <w:rFonts w:hint="default"/>
                <w:lang w:val="en-US" w:eastAsia="zh-CN"/>
              </w:rPr>
            </w:pPr>
            <w:r>
              <w:rPr>
                <w:rFonts w:hint="default"/>
                <w:lang w:val="en-US" w:eastAsia="zh-CN"/>
              </w:rPr>
              <w:t>4</w:t>
            </w:r>
          </w:p>
        </w:tc>
        <w:tc>
          <w:tcPr>
            <w:tcW w:w="711" w:type="dxa"/>
            <w:vMerge w:val="continue"/>
            <w:noWrap w:val="0"/>
            <w:vAlign w:val="center"/>
          </w:tcPr>
          <w:p w14:paraId="727DA18C">
            <w:pPr>
              <w:pStyle w:val="8"/>
              <w:bidi w:val="0"/>
              <w:rPr>
                <w:rFonts w:hint="default"/>
              </w:rPr>
            </w:pPr>
          </w:p>
        </w:tc>
        <w:tc>
          <w:tcPr>
            <w:tcW w:w="770" w:type="dxa"/>
            <w:noWrap w:val="0"/>
            <w:vAlign w:val="center"/>
          </w:tcPr>
          <w:p w14:paraId="6312FBC7">
            <w:pPr>
              <w:pStyle w:val="8"/>
              <w:bidi w:val="0"/>
              <w:rPr>
                <w:rFonts w:hint="default"/>
              </w:rPr>
            </w:pPr>
            <w:r>
              <w:rPr>
                <w:rFonts w:hint="default"/>
              </w:rPr>
              <w:t>　</w:t>
            </w:r>
          </w:p>
        </w:tc>
      </w:tr>
      <w:tr w14:paraId="2B8B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45A101F3">
            <w:pPr>
              <w:pStyle w:val="8"/>
              <w:bidi w:val="0"/>
              <w:rPr>
                <w:rFonts w:hint="default"/>
              </w:rPr>
            </w:pPr>
          </w:p>
        </w:tc>
        <w:tc>
          <w:tcPr>
            <w:tcW w:w="787" w:type="dxa"/>
            <w:vMerge w:val="continue"/>
            <w:noWrap w:val="0"/>
            <w:vAlign w:val="center"/>
          </w:tcPr>
          <w:p w14:paraId="1B839345">
            <w:pPr>
              <w:pStyle w:val="8"/>
              <w:bidi w:val="0"/>
              <w:rPr>
                <w:rFonts w:hint="default"/>
              </w:rPr>
            </w:pPr>
          </w:p>
        </w:tc>
        <w:tc>
          <w:tcPr>
            <w:tcW w:w="920" w:type="dxa"/>
            <w:vMerge w:val="continue"/>
            <w:noWrap w:val="0"/>
            <w:vAlign w:val="center"/>
          </w:tcPr>
          <w:p w14:paraId="1DA98232">
            <w:pPr>
              <w:pStyle w:val="8"/>
              <w:bidi w:val="0"/>
              <w:rPr>
                <w:rFonts w:hint="default"/>
              </w:rPr>
            </w:pPr>
          </w:p>
        </w:tc>
        <w:tc>
          <w:tcPr>
            <w:tcW w:w="6392" w:type="dxa"/>
            <w:noWrap w:val="0"/>
            <w:vAlign w:val="center"/>
          </w:tcPr>
          <w:p w14:paraId="7C242F22">
            <w:pPr>
              <w:pStyle w:val="8"/>
              <w:bidi w:val="0"/>
              <w:jc w:val="left"/>
              <w:rPr>
                <w:rFonts w:hint="default"/>
              </w:rPr>
            </w:pPr>
            <w:r>
              <w:rPr>
                <w:rFonts w:hint="default"/>
              </w:rPr>
              <w:t>工艺适用时，节能灯等节能型照明设备的使用占比不低于50%。</w:t>
            </w:r>
          </w:p>
        </w:tc>
        <w:tc>
          <w:tcPr>
            <w:tcW w:w="2407" w:type="dxa"/>
            <w:noWrap w:val="0"/>
            <w:vAlign w:val="center"/>
          </w:tcPr>
          <w:p w14:paraId="7609D22B">
            <w:pPr>
              <w:pStyle w:val="8"/>
              <w:bidi w:val="0"/>
              <w:rPr>
                <w:rFonts w:hint="default"/>
              </w:rPr>
            </w:pPr>
            <w:r>
              <w:rPr>
                <w:rFonts w:hint="default"/>
              </w:rPr>
              <w:t>　</w:t>
            </w:r>
          </w:p>
        </w:tc>
        <w:tc>
          <w:tcPr>
            <w:tcW w:w="1275" w:type="dxa"/>
            <w:vMerge w:val="continue"/>
            <w:noWrap w:val="0"/>
            <w:vAlign w:val="center"/>
          </w:tcPr>
          <w:p w14:paraId="5C0618A0">
            <w:pPr>
              <w:pStyle w:val="8"/>
              <w:bidi w:val="0"/>
              <w:rPr>
                <w:rFonts w:hint="default"/>
              </w:rPr>
            </w:pPr>
          </w:p>
        </w:tc>
        <w:tc>
          <w:tcPr>
            <w:tcW w:w="851" w:type="dxa"/>
            <w:noWrap w:val="0"/>
            <w:vAlign w:val="center"/>
          </w:tcPr>
          <w:p w14:paraId="71A9D7F0">
            <w:pPr>
              <w:pStyle w:val="8"/>
              <w:bidi w:val="0"/>
              <w:rPr>
                <w:rFonts w:hint="default"/>
                <w:lang w:val="en-US" w:eastAsia="zh-CN"/>
              </w:rPr>
            </w:pPr>
            <w:r>
              <w:rPr>
                <w:rFonts w:hint="default"/>
                <w:lang w:val="en-US" w:eastAsia="zh-CN"/>
              </w:rPr>
              <w:t>4</w:t>
            </w:r>
          </w:p>
        </w:tc>
        <w:tc>
          <w:tcPr>
            <w:tcW w:w="711" w:type="dxa"/>
            <w:vMerge w:val="continue"/>
            <w:noWrap w:val="0"/>
            <w:vAlign w:val="center"/>
          </w:tcPr>
          <w:p w14:paraId="6AB86450">
            <w:pPr>
              <w:pStyle w:val="8"/>
              <w:bidi w:val="0"/>
              <w:rPr>
                <w:rFonts w:hint="default"/>
              </w:rPr>
            </w:pPr>
          </w:p>
        </w:tc>
        <w:tc>
          <w:tcPr>
            <w:tcW w:w="770" w:type="dxa"/>
            <w:noWrap w:val="0"/>
            <w:vAlign w:val="center"/>
          </w:tcPr>
          <w:p w14:paraId="31C7E7BC">
            <w:pPr>
              <w:pStyle w:val="8"/>
              <w:bidi w:val="0"/>
              <w:rPr>
                <w:rFonts w:hint="default"/>
              </w:rPr>
            </w:pPr>
            <w:r>
              <w:rPr>
                <w:rFonts w:hint="default"/>
              </w:rPr>
              <w:t>　</w:t>
            </w:r>
          </w:p>
        </w:tc>
      </w:tr>
      <w:tr w14:paraId="14EA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17F3262">
            <w:pPr>
              <w:pStyle w:val="8"/>
              <w:bidi w:val="0"/>
              <w:rPr>
                <w:rFonts w:hint="default"/>
              </w:rPr>
            </w:pPr>
          </w:p>
        </w:tc>
        <w:tc>
          <w:tcPr>
            <w:tcW w:w="787" w:type="dxa"/>
            <w:vMerge w:val="continue"/>
            <w:noWrap w:val="0"/>
            <w:vAlign w:val="center"/>
          </w:tcPr>
          <w:p w14:paraId="282A59D9">
            <w:pPr>
              <w:pStyle w:val="8"/>
              <w:bidi w:val="0"/>
              <w:rPr>
                <w:rFonts w:hint="default"/>
              </w:rPr>
            </w:pPr>
          </w:p>
        </w:tc>
        <w:tc>
          <w:tcPr>
            <w:tcW w:w="920" w:type="dxa"/>
            <w:vMerge w:val="continue"/>
            <w:noWrap w:val="0"/>
            <w:vAlign w:val="center"/>
          </w:tcPr>
          <w:p w14:paraId="440B6423">
            <w:pPr>
              <w:pStyle w:val="8"/>
              <w:bidi w:val="0"/>
              <w:rPr>
                <w:rFonts w:hint="default"/>
              </w:rPr>
            </w:pPr>
          </w:p>
        </w:tc>
        <w:tc>
          <w:tcPr>
            <w:tcW w:w="6392" w:type="dxa"/>
            <w:noWrap w:val="0"/>
            <w:vAlign w:val="center"/>
          </w:tcPr>
          <w:p w14:paraId="7FF4636B">
            <w:pPr>
              <w:pStyle w:val="8"/>
              <w:bidi w:val="0"/>
              <w:jc w:val="left"/>
              <w:rPr>
                <w:rFonts w:hint="default"/>
              </w:rPr>
            </w:pPr>
            <w:r>
              <w:rPr>
                <w:rFonts w:hint="default"/>
              </w:rPr>
              <w:t>公共场所的照明采取分区、分组与定时自动调光等措施。</w:t>
            </w:r>
          </w:p>
        </w:tc>
        <w:tc>
          <w:tcPr>
            <w:tcW w:w="2407" w:type="dxa"/>
            <w:noWrap w:val="0"/>
            <w:vAlign w:val="center"/>
          </w:tcPr>
          <w:p w14:paraId="642BEF55">
            <w:pPr>
              <w:pStyle w:val="8"/>
              <w:bidi w:val="0"/>
              <w:rPr>
                <w:rFonts w:hint="default"/>
              </w:rPr>
            </w:pPr>
            <w:r>
              <w:rPr>
                <w:rFonts w:hint="default"/>
              </w:rPr>
              <w:t>　</w:t>
            </w:r>
          </w:p>
        </w:tc>
        <w:tc>
          <w:tcPr>
            <w:tcW w:w="1275" w:type="dxa"/>
            <w:vMerge w:val="continue"/>
            <w:noWrap w:val="0"/>
            <w:vAlign w:val="center"/>
          </w:tcPr>
          <w:p w14:paraId="47326615">
            <w:pPr>
              <w:pStyle w:val="8"/>
              <w:bidi w:val="0"/>
              <w:rPr>
                <w:rFonts w:hint="default"/>
              </w:rPr>
            </w:pPr>
          </w:p>
        </w:tc>
        <w:tc>
          <w:tcPr>
            <w:tcW w:w="851" w:type="dxa"/>
            <w:noWrap w:val="0"/>
            <w:vAlign w:val="center"/>
          </w:tcPr>
          <w:p w14:paraId="4816CE07">
            <w:pPr>
              <w:pStyle w:val="8"/>
              <w:bidi w:val="0"/>
              <w:rPr>
                <w:rFonts w:hint="default"/>
                <w:lang w:val="en-US" w:eastAsia="zh-CN"/>
              </w:rPr>
            </w:pPr>
            <w:r>
              <w:rPr>
                <w:rFonts w:hint="default"/>
                <w:lang w:val="en-US" w:eastAsia="zh-CN"/>
              </w:rPr>
              <w:t>4</w:t>
            </w:r>
          </w:p>
        </w:tc>
        <w:tc>
          <w:tcPr>
            <w:tcW w:w="711" w:type="dxa"/>
            <w:vMerge w:val="continue"/>
            <w:noWrap w:val="0"/>
            <w:vAlign w:val="center"/>
          </w:tcPr>
          <w:p w14:paraId="3E78B04D">
            <w:pPr>
              <w:pStyle w:val="8"/>
              <w:bidi w:val="0"/>
              <w:rPr>
                <w:rFonts w:hint="default"/>
              </w:rPr>
            </w:pPr>
          </w:p>
        </w:tc>
        <w:tc>
          <w:tcPr>
            <w:tcW w:w="770" w:type="dxa"/>
            <w:noWrap w:val="0"/>
            <w:vAlign w:val="center"/>
          </w:tcPr>
          <w:p w14:paraId="2AC1C753">
            <w:pPr>
              <w:pStyle w:val="8"/>
              <w:bidi w:val="0"/>
              <w:rPr>
                <w:rFonts w:hint="default"/>
              </w:rPr>
            </w:pPr>
            <w:r>
              <w:rPr>
                <w:rFonts w:hint="default"/>
              </w:rPr>
              <w:t>　</w:t>
            </w:r>
          </w:p>
        </w:tc>
      </w:tr>
      <w:tr w14:paraId="1311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9CF23A7">
            <w:pPr>
              <w:pStyle w:val="8"/>
              <w:bidi w:val="0"/>
              <w:rPr>
                <w:rFonts w:hint="default"/>
              </w:rPr>
            </w:pPr>
          </w:p>
        </w:tc>
        <w:tc>
          <w:tcPr>
            <w:tcW w:w="787" w:type="dxa"/>
            <w:vMerge w:val="continue"/>
            <w:noWrap w:val="0"/>
            <w:vAlign w:val="center"/>
          </w:tcPr>
          <w:p w14:paraId="700B3553">
            <w:pPr>
              <w:pStyle w:val="8"/>
              <w:bidi w:val="0"/>
              <w:rPr>
                <w:rFonts w:hint="default"/>
              </w:rPr>
            </w:pPr>
          </w:p>
        </w:tc>
        <w:tc>
          <w:tcPr>
            <w:tcW w:w="920" w:type="dxa"/>
            <w:vMerge w:val="restart"/>
            <w:noWrap w:val="0"/>
            <w:vAlign w:val="center"/>
          </w:tcPr>
          <w:p w14:paraId="5FDDE60E">
            <w:pPr>
              <w:pStyle w:val="8"/>
              <w:bidi w:val="0"/>
              <w:rPr>
                <w:rFonts w:hint="default"/>
                <w:lang w:eastAsia="zh-CN"/>
              </w:rPr>
            </w:pPr>
            <w:r>
              <w:rPr>
                <w:rFonts w:hint="default"/>
                <w:lang w:eastAsia="zh-CN"/>
              </w:rPr>
              <w:t>设备</w:t>
            </w:r>
          </w:p>
          <w:p w14:paraId="3591154D">
            <w:pPr>
              <w:pStyle w:val="8"/>
              <w:bidi w:val="0"/>
              <w:rPr>
                <w:rFonts w:hint="default"/>
              </w:rPr>
            </w:pPr>
            <w:r>
              <w:rPr>
                <w:rFonts w:hint="default"/>
                <w:lang w:eastAsia="zh-CN"/>
              </w:rPr>
              <w:t>设施</w:t>
            </w:r>
          </w:p>
        </w:tc>
        <w:tc>
          <w:tcPr>
            <w:tcW w:w="6392" w:type="dxa"/>
            <w:noWrap w:val="0"/>
            <w:vAlign w:val="center"/>
          </w:tcPr>
          <w:p w14:paraId="5D45937E">
            <w:pPr>
              <w:pStyle w:val="8"/>
              <w:bidi w:val="0"/>
              <w:jc w:val="left"/>
              <w:rPr>
                <w:rFonts w:hint="default"/>
              </w:rPr>
            </w:pPr>
            <w:r>
              <w:rPr>
                <w:rFonts w:hint="default"/>
                <w:lang w:eastAsia="zh-CN"/>
              </w:rPr>
              <w:t>工厂使用的</w:t>
            </w:r>
            <w:r>
              <w:rPr>
                <w:rFonts w:hint="default"/>
              </w:rPr>
              <w:t>专用设备应符合产业准入要求，降低能源与资源消耗，减少污染物排放</w:t>
            </w:r>
            <w:r>
              <w:rPr>
                <w:rFonts w:hint="default"/>
                <w:lang w:eastAsia="zh-CN"/>
              </w:rPr>
              <w:t>。</w:t>
            </w:r>
          </w:p>
        </w:tc>
        <w:tc>
          <w:tcPr>
            <w:tcW w:w="2407" w:type="dxa"/>
            <w:noWrap w:val="0"/>
            <w:vAlign w:val="center"/>
          </w:tcPr>
          <w:p w14:paraId="4F8763D0">
            <w:pPr>
              <w:pStyle w:val="8"/>
              <w:bidi w:val="0"/>
              <w:rPr>
                <w:rFonts w:hint="default"/>
              </w:rPr>
            </w:pPr>
            <w:r>
              <w:rPr>
                <w:rFonts w:hint="default"/>
              </w:rPr>
              <w:t>　</w:t>
            </w:r>
          </w:p>
        </w:tc>
        <w:tc>
          <w:tcPr>
            <w:tcW w:w="1275" w:type="dxa"/>
            <w:vMerge w:val="restart"/>
            <w:noWrap w:val="0"/>
            <w:vAlign w:val="center"/>
          </w:tcPr>
          <w:p w14:paraId="13587E35">
            <w:pPr>
              <w:pStyle w:val="8"/>
              <w:bidi w:val="0"/>
              <w:rPr>
                <w:rFonts w:hint="default"/>
                <w:lang w:eastAsia="zh-CN"/>
              </w:rPr>
            </w:pPr>
            <w:r>
              <w:rPr>
                <w:rFonts w:hint="default"/>
                <w:lang w:eastAsia="zh-CN"/>
              </w:rPr>
              <w:t>必选</w:t>
            </w:r>
          </w:p>
        </w:tc>
        <w:tc>
          <w:tcPr>
            <w:tcW w:w="851" w:type="dxa"/>
            <w:noWrap w:val="0"/>
            <w:vAlign w:val="center"/>
          </w:tcPr>
          <w:p w14:paraId="6EBBC251">
            <w:pPr>
              <w:pStyle w:val="8"/>
              <w:bidi w:val="0"/>
              <w:rPr>
                <w:rFonts w:hint="default"/>
                <w:lang w:val="en-US" w:eastAsia="zh-CN"/>
              </w:rPr>
            </w:pPr>
            <w:r>
              <w:rPr>
                <w:rFonts w:hint="default"/>
                <w:lang w:val="en-US" w:eastAsia="zh-CN"/>
              </w:rPr>
              <w:t>5</w:t>
            </w:r>
          </w:p>
        </w:tc>
        <w:tc>
          <w:tcPr>
            <w:tcW w:w="711" w:type="dxa"/>
            <w:vMerge w:val="continue"/>
            <w:noWrap w:val="0"/>
            <w:vAlign w:val="center"/>
          </w:tcPr>
          <w:p w14:paraId="3EEDC447">
            <w:pPr>
              <w:pStyle w:val="8"/>
              <w:bidi w:val="0"/>
              <w:rPr>
                <w:rFonts w:hint="default"/>
              </w:rPr>
            </w:pPr>
          </w:p>
        </w:tc>
        <w:tc>
          <w:tcPr>
            <w:tcW w:w="770" w:type="dxa"/>
            <w:noWrap w:val="0"/>
            <w:vAlign w:val="center"/>
          </w:tcPr>
          <w:p w14:paraId="068E9F31">
            <w:pPr>
              <w:pStyle w:val="8"/>
              <w:bidi w:val="0"/>
              <w:rPr>
                <w:rFonts w:hint="default"/>
              </w:rPr>
            </w:pPr>
          </w:p>
        </w:tc>
      </w:tr>
      <w:tr w14:paraId="5E5A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46EE063E">
            <w:pPr>
              <w:pStyle w:val="8"/>
              <w:bidi w:val="0"/>
              <w:rPr>
                <w:rFonts w:hint="default"/>
              </w:rPr>
            </w:pPr>
          </w:p>
        </w:tc>
        <w:tc>
          <w:tcPr>
            <w:tcW w:w="787" w:type="dxa"/>
            <w:vMerge w:val="continue"/>
            <w:noWrap w:val="0"/>
            <w:vAlign w:val="center"/>
          </w:tcPr>
          <w:p w14:paraId="33105C9E">
            <w:pPr>
              <w:pStyle w:val="8"/>
              <w:bidi w:val="0"/>
              <w:rPr>
                <w:rFonts w:hint="default"/>
              </w:rPr>
            </w:pPr>
          </w:p>
        </w:tc>
        <w:tc>
          <w:tcPr>
            <w:tcW w:w="920" w:type="dxa"/>
            <w:vMerge w:val="continue"/>
            <w:noWrap w:val="0"/>
            <w:vAlign w:val="center"/>
          </w:tcPr>
          <w:p w14:paraId="7992AE3D">
            <w:pPr>
              <w:pStyle w:val="8"/>
              <w:bidi w:val="0"/>
              <w:rPr>
                <w:rFonts w:hint="default"/>
              </w:rPr>
            </w:pPr>
          </w:p>
        </w:tc>
        <w:tc>
          <w:tcPr>
            <w:tcW w:w="6392" w:type="dxa"/>
            <w:noWrap w:val="0"/>
            <w:vAlign w:val="center"/>
          </w:tcPr>
          <w:p w14:paraId="13F40B74">
            <w:pPr>
              <w:pStyle w:val="8"/>
              <w:bidi w:val="0"/>
              <w:jc w:val="left"/>
              <w:rPr>
                <w:rFonts w:hint="default"/>
              </w:rPr>
            </w:pPr>
            <w:r>
              <w:rPr>
                <w:rFonts w:hint="default"/>
                <w:lang w:eastAsia="zh-CN"/>
              </w:rPr>
              <w:t>适用时，</w:t>
            </w:r>
            <w:r>
              <w:rPr>
                <w:rFonts w:hint="default"/>
              </w:rPr>
              <w:t>工厂使用的</w:t>
            </w:r>
            <w:r>
              <w:rPr>
                <w:rFonts w:hint="default"/>
                <w:lang w:eastAsia="zh-CN"/>
              </w:rPr>
              <w:t>通用</w:t>
            </w:r>
            <w:r>
              <w:rPr>
                <w:rFonts w:hint="default"/>
              </w:rPr>
              <w:t>设备应达到相关标准中能效限定值的强制性要求。已明令禁止生产、使用的和能耗高、效率低的设备应限期淘汰更新</w:t>
            </w:r>
            <w:r>
              <w:rPr>
                <w:rFonts w:hint="default"/>
                <w:lang w:eastAsia="zh-CN"/>
              </w:rPr>
              <w:t>。</w:t>
            </w:r>
          </w:p>
        </w:tc>
        <w:tc>
          <w:tcPr>
            <w:tcW w:w="2407" w:type="dxa"/>
            <w:noWrap w:val="0"/>
            <w:vAlign w:val="center"/>
          </w:tcPr>
          <w:p w14:paraId="6215E055">
            <w:pPr>
              <w:pStyle w:val="8"/>
              <w:bidi w:val="0"/>
              <w:rPr>
                <w:rFonts w:hint="default"/>
              </w:rPr>
            </w:pPr>
            <w:r>
              <w:rPr>
                <w:rFonts w:hint="default"/>
              </w:rPr>
              <w:t>　</w:t>
            </w:r>
          </w:p>
        </w:tc>
        <w:tc>
          <w:tcPr>
            <w:tcW w:w="1275" w:type="dxa"/>
            <w:vMerge w:val="continue"/>
            <w:noWrap w:val="0"/>
            <w:vAlign w:val="center"/>
          </w:tcPr>
          <w:p w14:paraId="603EA01A">
            <w:pPr>
              <w:pStyle w:val="8"/>
              <w:bidi w:val="0"/>
              <w:rPr>
                <w:rFonts w:hint="default"/>
              </w:rPr>
            </w:pPr>
          </w:p>
        </w:tc>
        <w:tc>
          <w:tcPr>
            <w:tcW w:w="851" w:type="dxa"/>
            <w:noWrap w:val="0"/>
            <w:vAlign w:val="center"/>
          </w:tcPr>
          <w:p w14:paraId="0421B4F0">
            <w:pPr>
              <w:pStyle w:val="8"/>
              <w:bidi w:val="0"/>
              <w:rPr>
                <w:rFonts w:hint="default"/>
                <w:lang w:val="en-US" w:eastAsia="zh-CN"/>
              </w:rPr>
            </w:pPr>
            <w:r>
              <w:rPr>
                <w:rFonts w:hint="default"/>
                <w:lang w:val="en-US" w:eastAsia="zh-CN"/>
              </w:rPr>
              <w:t>5</w:t>
            </w:r>
          </w:p>
        </w:tc>
        <w:tc>
          <w:tcPr>
            <w:tcW w:w="711" w:type="dxa"/>
            <w:vMerge w:val="continue"/>
            <w:noWrap w:val="0"/>
            <w:vAlign w:val="center"/>
          </w:tcPr>
          <w:p w14:paraId="7E4407E7">
            <w:pPr>
              <w:pStyle w:val="8"/>
              <w:bidi w:val="0"/>
              <w:rPr>
                <w:rFonts w:hint="default"/>
              </w:rPr>
            </w:pPr>
          </w:p>
        </w:tc>
        <w:tc>
          <w:tcPr>
            <w:tcW w:w="770" w:type="dxa"/>
            <w:noWrap w:val="0"/>
            <w:vAlign w:val="center"/>
          </w:tcPr>
          <w:p w14:paraId="19DB239D">
            <w:pPr>
              <w:pStyle w:val="8"/>
              <w:bidi w:val="0"/>
              <w:rPr>
                <w:rFonts w:hint="default"/>
              </w:rPr>
            </w:pPr>
          </w:p>
        </w:tc>
      </w:tr>
      <w:tr w14:paraId="5891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43109F91">
            <w:pPr>
              <w:pStyle w:val="8"/>
              <w:bidi w:val="0"/>
              <w:rPr>
                <w:rFonts w:hint="default"/>
              </w:rPr>
            </w:pPr>
          </w:p>
        </w:tc>
        <w:tc>
          <w:tcPr>
            <w:tcW w:w="787" w:type="dxa"/>
            <w:vMerge w:val="continue"/>
            <w:noWrap w:val="0"/>
            <w:vAlign w:val="center"/>
          </w:tcPr>
          <w:p w14:paraId="430B69EB">
            <w:pPr>
              <w:pStyle w:val="8"/>
              <w:bidi w:val="0"/>
              <w:rPr>
                <w:rFonts w:hint="default"/>
              </w:rPr>
            </w:pPr>
          </w:p>
        </w:tc>
        <w:tc>
          <w:tcPr>
            <w:tcW w:w="920" w:type="dxa"/>
            <w:vMerge w:val="continue"/>
            <w:noWrap w:val="0"/>
            <w:vAlign w:val="center"/>
          </w:tcPr>
          <w:p w14:paraId="7EF0A270">
            <w:pPr>
              <w:pStyle w:val="8"/>
              <w:bidi w:val="0"/>
              <w:rPr>
                <w:rFonts w:hint="default"/>
              </w:rPr>
            </w:pPr>
          </w:p>
        </w:tc>
        <w:tc>
          <w:tcPr>
            <w:tcW w:w="6392" w:type="dxa"/>
            <w:noWrap w:val="0"/>
            <w:vAlign w:val="center"/>
          </w:tcPr>
          <w:p w14:paraId="1E5D0C38">
            <w:pPr>
              <w:pStyle w:val="8"/>
              <w:bidi w:val="0"/>
              <w:jc w:val="left"/>
              <w:rPr>
                <w:rFonts w:hint="default"/>
              </w:rPr>
            </w:pPr>
            <w:r>
              <w:rPr>
                <w:rFonts w:hint="default"/>
                <w:lang w:eastAsia="zh-CN"/>
              </w:rPr>
              <w:t>工厂使用的</w:t>
            </w:r>
            <w:r>
              <w:rPr>
                <w:rFonts w:hint="default"/>
              </w:rPr>
              <w:t>通用设备或其系统的实际运行效率或主要运行参数应符合该设备经济运行的要求。</w:t>
            </w:r>
          </w:p>
        </w:tc>
        <w:tc>
          <w:tcPr>
            <w:tcW w:w="2407" w:type="dxa"/>
            <w:noWrap w:val="0"/>
            <w:vAlign w:val="center"/>
          </w:tcPr>
          <w:p w14:paraId="247745A6">
            <w:pPr>
              <w:pStyle w:val="8"/>
              <w:bidi w:val="0"/>
              <w:rPr>
                <w:rFonts w:hint="default"/>
              </w:rPr>
            </w:pPr>
            <w:r>
              <w:rPr>
                <w:rFonts w:hint="default"/>
              </w:rPr>
              <w:t>　</w:t>
            </w:r>
          </w:p>
        </w:tc>
        <w:tc>
          <w:tcPr>
            <w:tcW w:w="1275" w:type="dxa"/>
            <w:vMerge w:val="continue"/>
            <w:noWrap w:val="0"/>
            <w:vAlign w:val="center"/>
          </w:tcPr>
          <w:p w14:paraId="777DB8CD">
            <w:pPr>
              <w:pStyle w:val="8"/>
              <w:bidi w:val="0"/>
              <w:rPr>
                <w:rFonts w:hint="default"/>
              </w:rPr>
            </w:pPr>
          </w:p>
        </w:tc>
        <w:tc>
          <w:tcPr>
            <w:tcW w:w="851" w:type="dxa"/>
            <w:noWrap w:val="0"/>
            <w:vAlign w:val="center"/>
          </w:tcPr>
          <w:p w14:paraId="0E167E05">
            <w:pPr>
              <w:pStyle w:val="8"/>
              <w:bidi w:val="0"/>
              <w:rPr>
                <w:rFonts w:hint="default"/>
                <w:lang w:val="en-US" w:eastAsia="zh-CN"/>
              </w:rPr>
            </w:pPr>
            <w:r>
              <w:rPr>
                <w:rFonts w:hint="default"/>
                <w:lang w:val="en-US" w:eastAsia="zh-CN"/>
              </w:rPr>
              <w:t>5</w:t>
            </w:r>
          </w:p>
        </w:tc>
        <w:tc>
          <w:tcPr>
            <w:tcW w:w="711" w:type="dxa"/>
            <w:vMerge w:val="continue"/>
            <w:noWrap w:val="0"/>
            <w:vAlign w:val="center"/>
          </w:tcPr>
          <w:p w14:paraId="4C5B1A78">
            <w:pPr>
              <w:pStyle w:val="8"/>
              <w:bidi w:val="0"/>
              <w:rPr>
                <w:rFonts w:hint="default"/>
              </w:rPr>
            </w:pPr>
          </w:p>
        </w:tc>
        <w:tc>
          <w:tcPr>
            <w:tcW w:w="770" w:type="dxa"/>
            <w:noWrap w:val="0"/>
            <w:vAlign w:val="center"/>
          </w:tcPr>
          <w:p w14:paraId="0C332C4F">
            <w:pPr>
              <w:pStyle w:val="8"/>
              <w:bidi w:val="0"/>
              <w:rPr>
                <w:rFonts w:hint="default"/>
              </w:rPr>
            </w:pPr>
          </w:p>
        </w:tc>
      </w:tr>
      <w:tr w14:paraId="7304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AC2E66E">
            <w:pPr>
              <w:pStyle w:val="8"/>
              <w:bidi w:val="0"/>
              <w:rPr>
                <w:rFonts w:hint="default"/>
              </w:rPr>
            </w:pPr>
          </w:p>
        </w:tc>
        <w:tc>
          <w:tcPr>
            <w:tcW w:w="787" w:type="dxa"/>
            <w:vMerge w:val="continue"/>
            <w:noWrap w:val="0"/>
            <w:vAlign w:val="center"/>
          </w:tcPr>
          <w:p w14:paraId="3899A1E4">
            <w:pPr>
              <w:pStyle w:val="8"/>
              <w:bidi w:val="0"/>
              <w:rPr>
                <w:rFonts w:hint="default"/>
              </w:rPr>
            </w:pPr>
          </w:p>
        </w:tc>
        <w:tc>
          <w:tcPr>
            <w:tcW w:w="920" w:type="dxa"/>
            <w:vMerge w:val="continue"/>
            <w:noWrap w:val="0"/>
            <w:vAlign w:val="center"/>
          </w:tcPr>
          <w:p w14:paraId="03C9B099">
            <w:pPr>
              <w:pStyle w:val="8"/>
              <w:bidi w:val="0"/>
              <w:rPr>
                <w:rFonts w:hint="default"/>
              </w:rPr>
            </w:pPr>
          </w:p>
        </w:tc>
        <w:tc>
          <w:tcPr>
            <w:tcW w:w="6392" w:type="dxa"/>
            <w:noWrap w:val="0"/>
            <w:vAlign w:val="center"/>
          </w:tcPr>
          <w:p w14:paraId="0A38C708">
            <w:pPr>
              <w:pStyle w:val="8"/>
              <w:bidi w:val="0"/>
              <w:jc w:val="left"/>
              <w:rPr>
                <w:rFonts w:hint="default"/>
              </w:rPr>
            </w:pPr>
            <w:r>
              <w:rPr>
                <w:rFonts w:hint="default"/>
              </w:rPr>
              <w:t>工厂应依据GB 17167、GB24789等要求配备、使用和管理能源、水以及其他资源的计量器具和装置。</w:t>
            </w:r>
          </w:p>
        </w:tc>
        <w:tc>
          <w:tcPr>
            <w:tcW w:w="2407" w:type="dxa"/>
            <w:noWrap w:val="0"/>
            <w:vAlign w:val="center"/>
          </w:tcPr>
          <w:p w14:paraId="7AEE31A0">
            <w:pPr>
              <w:pStyle w:val="8"/>
              <w:bidi w:val="0"/>
              <w:rPr>
                <w:rFonts w:hint="default"/>
              </w:rPr>
            </w:pPr>
            <w:r>
              <w:rPr>
                <w:rFonts w:hint="default"/>
              </w:rPr>
              <w:t>　</w:t>
            </w:r>
          </w:p>
        </w:tc>
        <w:tc>
          <w:tcPr>
            <w:tcW w:w="1275" w:type="dxa"/>
            <w:vMerge w:val="continue"/>
            <w:noWrap w:val="0"/>
            <w:vAlign w:val="center"/>
          </w:tcPr>
          <w:p w14:paraId="0E1A3FBD">
            <w:pPr>
              <w:pStyle w:val="8"/>
              <w:bidi w:val="0"/>
              <w:rPr>
                <w:rFonts w:hint="default"/>
              </w:rPr>
            </w:pPr>
          </w:p>
        </w:tc>
        <w:tc>
          <w:tcPr>
            <w:tcW w:w="851" w:type="dxa"/>
            <w:noWrap w:val="0"/>
            <w:vAlign w:val="center"/>
          </w:tcPr>
          <w:p w14:paraId="4DB7F35D">
            <w:pPr>
              <w:pStyle w:val="8"/>
              <w:bidi w:val="0"/>
              <w:rPr>
                <w:rFonts w:hint="default"/>
                <w:lang w:val="en-US" w:eastAsia="zh-CN"/>
              </w:rPr>
            </w:pPr>
            <w:r>
              <w:rPr>
                <w:rFonts w:hint="default"/>
                <w:lang w:val="en-US" w:eastAsia="zh-CN"/>
              </w:rPr>
              <w:t>5</w:t>
            </w:r>
          </w:p>
        </w:tc>
        <w:tc>
          <w:tcPr>
            <w:tcW w:w="711" w:type="dxa"/>
            <w:vMerge w:val="continue"/>
            <w:noWrap w:val="0"/>
            <w:vAlign w:val="center"/>
          </w:tcPr>
          <w:p w14:paraId="031D9481">
            <w:pPr>
              <w:pStyle w:val="8"/>
              <w:bidi w:val="0"/>
              <w:rPr>
                <w:rFonts w:hint="default"/>
              </w:rPr>
            </w:pPr>
          </w:p>
        </w:tc>
        <w:tc>
          <w:tcPr>
            <w:tcW w:w="770" w:type="dxa"/>
            <w:noWrap w:val="0"/>
            <w:vAlign w:val="center"/>
          </w:tcPr>
          <w:p w14:paraId="4E9BD832">
            <w:pPr>
              <w:pStyle w:val="8"/>
              <w:bidi w:val="0"/>
              <w:rPr>
                <w:rFonts w:hint="default"/>
              </w:rPr>
            </w:pPr>
          </w:p>
        </w:tc>
      </w:tr>
      <w:tr w14:paraId="6CAF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01793C6">
            <w:pPr>
              <w:pStyle w:val="8"/>
              <w:bidi w:val="0"/>
              <w:rPr>
                <w:rFonts w:hint="default"/>
              </w:rPr>
            </w:pPr>
          </w:p>
        </w:tc>
        <w:tc>
          <w:tcPr>
            <w:tcW w:w="787" w:type="dxa"/>
            <w:vMerge w:val="continue"/>
            <w:noWrap w:val="0"/>
            <w:vAlign w:val="center"/>
          </w:tcPr>
          <w:p w14:paraId="08A90D7B">
            <w:pPr>
              <w:pStyle w:val="8"/>
              <w:bidi w:val="0"/>
              <w:rPr>
                <w:rFonts w:hint="default"/>
              </w:rPr>
            </w:pPr>
          </w:p>
        </w:tc>
        <w:tc>
          <w:tcPr>
            <w:tcW w:w="920" w:type="dxa"/>
            <w:vMerge w:val="continue"/>
            <w:noWrap w:val="0"/>
            <w:vAlign w:val="center"/>
          </w:tcPr>
          <w:p w14:paraId="45529FE1">
            <w:pPr>
              <w:pStyle w:val="8"/>
              <w:bidi w:val="0"/>
              <w:rPr>
                <w:rFonts w:hint="default"/>
              </w:rPr>
            </w:pPr>
          </w:p>
        </w:tc>
        <w:tc>
          <w:tcPr>
            <w:tcW w:w="6392" w:type="dxa"/>
            <w:noWrap w:val="0"/>
            <w:vAlign w:val="center"/>
          </w:tcPr>
          <w:p w14:paraId="3CCB0DDB">
            <w:pPr>
              <w:pStyle w:val="8"/>
              <w:bidi w:val="0"/>
              <w:jc w:val="left"/>
              <w:rPr>
                <w:rFonts w:hint="default"/>
              </w:rPr>
            </w:pPr>
            <w:r>
              <w:rPr>
                <w:rFonts w:hint="default"/>
                <w:lang w:eastAsia="zh-CN"/>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2407" w:type="dxa"/>
            <w:noWrap w:val="0"/>
            <w:vAlign w:val="center"/>
          </w:tcPr>
          <w:p w14:paraId="4274E0B9">
            <w:pPr>
              <w:pStyle w:val="8"/>
              <w:bidi w:val="0"/>
              <w:rPr>
                <w:rFonts w:hint="default"/>
              </w:rPr>
            </w:pPr>
            <w:r>
              <w:rPr>
                <w:rFonts w:hint="default"/>
              </w:rPr>
              <w:t>　</w:t>
            </w:r>
          </w:p>
        </w:tc>
        <w:tc>
          <w:tcPr>
            <w:tcW w:w="1275" w:type="dxa"/>
            <w:vMerge w:val="continue"/>
            <w:noWrap w:val="0"/>
            <w:vAlign w:val="center"/>
          </w:tcPr>
          <w:p w14:paraId="5F2C7CF7">
            <w:pPr>
              <w:pStyle w:val="8"/>
              <w:bidi w:val="0"/>
              <w:rPr>
                <w:rFonts w:hint="default"/>
              </w:rPr>
            </w:pPr>
          </w:p>
        </w:tc>
        <w:tc>
          <w:tcPr>
            <w:tcW w:w="851" w:type="dxa"/>
            <w:noWrap w:val="0"/>
            <w:vAlign w:val="center"/>
          </w:tcPr>
          <w:p w14:paraId="0610AED6">
            <w:pPr>
              <w:pStyle w:val="8"/>
              <w:bidi w:val="0"/>
              <w:rPr>
                <w:rFonts w:hint="default"/>
                <w:lang w:val="en-US" w:eastAsia="zh-CN"/>
              </w:rPr>
            </w:pPr>
            <w:r>
              <w:rPr>
                <w:rFonts w:hint="default"/>
                <w:lang w:val="en-US" w:eastAsia="zh-CN"/>
              </w:rPr>
              <w:t>5</w:t>
            </w:r>
          </w:p>
        </w:tc>
        <w:tc>
          <w:tcPr>
            <w:tcW w:w="711" w:type="dxa"/>
            <w:vMerge w:val="continue"/>
            <w:noWrap w:val="0"/>
            <w:vAlign w:val="center"/>
          </w:tcPr>
          <w:p w14:paraId="51DC69FC">
            <w:pPr>
              <w:pStyle w:val="8"/>
              <w:bidi w:val="0"/>
              <w:rPr>
                <w:rFonts w:hint="default"/>
              </w:rPr>
            </w:pPr>
          </w:p>
        </w:tc>
        <w:tc>
          <w:tcPr>
            <w:tcW w:w="770" w:type="dxa"/>
            <w:noWrap w:val="0"/>
            <w:vAlign w:val="center"/>
          </w:tcPr>
          <w:p w14:paraId="31494F7F">
            <w:pPr>
              <w:pStyle w:val="8"/>
              <w:bidi w:val="0"/>
              <w:rPr>
                <w:rFonts w:hint="default"/>
              </w:rPr>
            </w:pPr>
          </w:p>
        </w:tc>
      </w:tr>
      <w:tr w14:paraId="2474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AE6E33D">
            <w:pPr>
              <w:pStyle w:val="8"/>
              <w:bidi w:val="0"/>
              <w:rPr>
                <w:rFonts w:hint="default"/>
              </w:rPr>
            </w:pPr>
          </w:p>
        </w:tc>
        <w:tc>
          <w:tcPr>
            <w:tcW w:w="787" w:type="dxa"/>
            <w:vMerge w:val="continue"/>
            <w:noWrap w:val="0"/>
            <w:vAlign w:val="center"/>
          </w:tcPr>
          <w:p w14:paraId="13DC87E6">
            <w:pPr>
              <w:pStyle w:val="8"/>
              <w:bidi w:val="0"/>
              <w:rPr>
                <w:rFonts w:hint="default"/>
              </w:rPr>
            </w:pPr>
          </w:p>
        </w:tc>
        <w:tc>
          <w:tcPr>
            <w:tcW w:w="920" w:type="dxa"/>
            <w:vMerge w:val="continue"/>
            <w:noWrap w:val="0"/>
            <w:vAlign w:val="center"/>
          </w:tcPr>
          <w:p w14:paraId="6BFA84DB">
            <w:pPr>
              <w:pStyle w:val="8"/>
              <w:bidi w:val="0"/>
              <w:rPr>
                <w:rFonts w:hint="default"/>
              </w:rPr>
            </w:pPr>
          </w:p>
        </w:tc>
        <w:tc>
          <w:tcPr>
            <w:tcW w:w="6392" w:type="dxa"/>
            <w:noWrap w:val="0"/>
            <w:vAlign w:val="center"/>
          </w:tcPr>
          <w:p w14:paraId="5E6C645D">
            <w:pPr>
              <w:pStyle w:val="8"/>
              <w:bidi w:val="0"/>
              <w:jc w:val="left"/>
              <w:rPr>
                <w:rFonts w:hint="default"/>
              </w:rPr>
            </w:pPr>
            <w:r>
              <w:rPr>
                <w:rFonts w:hint="default"/>
              </w:rPr>
              <w:t>必要时，工厂应投入适宜的污染物处理设备，以确保其污染物排放达到相关法律法规及标准要求。污染物处理设备的处理能力应与工厂生产排放相适应，设备应满足通用设备的节能方面的要求。</w:t>
            </w:r>
          </w:p>
        </w:tc>
        <w:tc>
          <w:tcPr>
            <w:tcW w:w="2407" w:type="dxa"/>
            <w:noWrap w:val="0"/>
            <w:vAlign w:val="center"/>
          </w:tcPr>
          <w:p w14:paraId="307CFC66">
            <w:pPr>
              <w:pStyle w:val="8"/>
              <w:bidi w:val="0"/>
              <w:rPr>
                <w:rFonts w:hint="default"/>
              </w:rPr>
            </w:pPr>
            <w:r>
              <w:rPr>
                <w:rFonts w:hint="default"/>
              </w:rPr>
              <w:t>　</w:t>
            </w:r>
          </w:p>
        </w:tc>
        <w:tc>
          <w:tcPr>
            <w:tcW w:w="1275" w:type="dxa"/>
            <w:vMerge w:val="continue"/>
            <w:noWrap w:val="0"/>
            <w:vAlign w:val="center"/>
          </w:tcPr>
          <w:p w14:paraId="5E8252A5">
            <w:pPr>
              <w:pStyle w:val="8"/>
              <w:bidi w:val="0"/>
              <w:rPr>
                <w:rFonts w:hint="default"/>
              </w:rPr>
            </w:pPr>
          </w:p>
        </w:tc>
        <w:tc>
          <w:tcPr>
            <w:tcW w:w="851" w:type="dxa"/>
            <w:noWrap w:val="0"/>
            <w:vAlign w:val="center"/>
          </w:tcPr>
          <w:p w14:paraId="0B9C552D">
            <w:pPr>
              <w:pStyle w:val="8"/>
              <w:bidi w:val="0"/>
              <w:rPr>
                <w:rFonts w:hint="default"/>
                <w:lang w:val="en-US" w:eastAsia="zh-CN"/>
              </w:rPr>
            </w:pPr>
            <w:r>
              <w:rPr>
                <w:rFonts w:hint="default"/>
                <w:lang w:val="en-US" w:eastAsia="zh-CN"/>
              </w:rPr>
              <w:t>5</w:t>
            </w:r>
          </w:p>
        </w:tc>
        <w:tc>
          <w:tcPr>
            <w:tcW w:w="711" w:type="dxa"/>
            <w:vMerge w:val="continue"/>
            <w:noWrap w:val="0"/>
            <w:vAlign w:val="center"/>
          </w:tcPr>
          <w:p w14:paraId="50811B19">
            <w:pPr>
              <w:pStyle w:val="8"/>
              <w:bidi w:val="0"/>
              <w:rPr>
                <w:rFonts w:hint="default"/>
              </w:rPr>
            </w:pPr>
          </w:p>
        </w:tc>
        <w:tc>
          <w:tcPr>
            <w:tcW w:w="770" w:type="dxa"/>
            <w:noWrap w:val="0"/>
            <w:vAlign w:val="center"/>
          </w:tcPr>
          <w:p w14:paraId="6691CC1E">
            <w:pPr>
              <w:pStyle w:val="8"/>
              <w:bidi w:val="0"/>
              <w:rPr>
                <w:rFonts w:hint="default"/>
              </w:rPr>
            </w:pPr>
          </w:p>
        </w:tc>
      </w:tr>
      <w:tr w14:paraId="28A5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83E5837">
            <w:pPr>
              <w:pStyle w:val="8"/>
              <w:bidi w:val="0"/>
              <w:rPr>
                <w:rFonts w:hint="default"/>
              </w:rPr>
            </w:pPr>
          </w:p>
        </w:tc>
        <w:tc>
          <w:tcPr>
            <w:tcW w:w="787" w:type="dxa"/>
            <w:vMerge w:val="continue"/>
            <w:noWrap w:val="0"/>
            <w:vAlign w:val="center"/>
          </w:tcPr>
          <w:p w14:paraId="5739B62E">
            <w:pPr>
              <w:pStyle w:val="8"/>
              <w:bidi w:val="0"/>
              <w:rPr>
                <w:rFonts w:hint="default"/>
              </w:rPr>
            </w:pPr>
          </w:p>
        </w:tc>
        <w:tc>
          <w:tcPr>
            <w:tcW w:w="920" w:type="dxa"/>
            <w:vMerge w:val="continue"/>
            <w:noWrap w:val="0"/>
            <w:vAlign w:val="center"/>
          </w:tcPr>
          <w:p w14:paraId="3467E76D">
            <w:pPr>
              <w:pStyle w:val="8"/>
              <w:bidi w:val="0"/>
              <w:rPr>
                <w:rFonts w:hint="default"/>
                <w:lang w:eastAsia="zh-CN"/>
              </w:rPr>
            </w:pPr>
          </w:p>
        </w:tc>
        <w:tc>
          <w:tcPr>
            <w:tcW w:w="6392" w:type="dxa"/>
            <w:noWrap w:val="0"/>
            <w:vAlign w:val="center"/>
          </w:tcPr>
          <w:p w14:paraId="143D75D0">
            <w:pPr>
              <w:pStyle w:val="8"/>
              <w:bidi w:val="0"/>
              <w:jc w:val="left"/>
              <w:rPr>
                <w:rFonts w:hint="default"/>
              </w:rPr>
            </w:pPr>
            <w:r>
              <w:rPr>
                <w:rFonts w:hint="default"/>
              </w:rPr>
              <w:t>工厂使用的通用用能设备采用了节能型产品或效率高、能耗低、水耗低、物耗低的产品。</w:t>
            </w:r>
          </w:p>
        </w:tc>
        <w:tc>
          <w:tcPr>
            <w:tcW w:w="2407" w:type="dxa"/>
            <w:noWrap w:val="0"/>
            <w:vAlign w:val="center"/>
          </w:tcPr>
          <w:p w14:paraId="0086A86B">
            <w:pPr>
              <w:pStyle w:val="8"/>
              <w:bidi w:val="0"/>
              <w:rPr>
                <w:rFonts w:hint="default"/>
              </w:rPr>
            </w:pPr>
            <w:r>
              <w:rPr>
                <w:rFonts w:hint="default"/>
              </w:rPr>
              <w:t>　</w:t>
            </w:r>
          </w:p>
        </w:tc>
        <w:tc>
          <w:tcPr>
            <w:tcW w:w="1275" w:type="dxa"/>
            <w:noWrap w:val="0"/>
            <w:vAlign w:val="center"/>
          </w:tcPr>
          <w:p w14:paraId="50E2273E">
            <w:pPr>
              <w:pStyle w:val="8"/>
              <w:bidi w:val="0"/>
              <w:rPr>
                <w:rFonts w:hint="default"/>
                <w:lang w:eastAsia="zh-CN"/>
              </w:rPr>
            </w:pPr>
            <w:r>
              <w:rPr>
                <w:rFonts w:hint="default"/>
                <w:lang w:eastAsia="zh-CN"/>
              </w:rPr>
              <w:t>可选</w:t>
            </w:r>
          </w:p>
        </w:tc>
        <w:tc>
          <w:tcPr>
            <w:tcW w:w="851" w:type="dxa"/>
            <w:noWrap w:val="0"/>
            <w:vAlign w:val="center"/>
          </w:tcPr>
          <w:p w14:paraId="2A68B6E7">
            <w:pPr>
              <w:pStyle w:val="8"/>
              <w:bidi w:val="0"/>
              <w:rPr>
                <w:rFonts w:hint="default"/>
                <w:lang w:val="en-US" w:eastAsia="zh-CN"/>
              </w:rPr>
            </w:pPr>
            <w:r>
              <w:rPr>
                <w:rFonts w:hint="default"/>
                <w:lang w:val="en-US" w:eastAsia="zh-CN"/>
              </w:rPr>
              <w:t>8</w:t>
            </w:r>
          </w:p>
        </w:tc>
        <w:tc>
          <w:tcPr>
            <w:tcW w:w="711" w:type="dxa"/>
            <w:vMerge w:val="continue"/>
            <w:noWrap w:val="0"/>
            <w:vAlign w:val="center"/>
          </w:tcPr>
          <w:p w14:paraId="6073C90B">
            <w:pPr>
              <w:pStyle w:val="8"/>
              <w:bidi w:val="0"/>
              <w:rPr>
                <w:rFonts w:hint="default"/>
              </w:rPr>
            </w:pPr>
          </w:p>
        </w:tc>
        <w:tc>
          <w:tcPr>
            <w:tcW w:w="770" w:type="dxa"/>
            <w:noWrap w:val="0"/>
            <w:vAlign w:val="center"/>
          </w:tcPr>
          <w:p w14:paraId="4478E97C">
            <w:pPr>
              <w:pStyle w:val="8"/>
              <w:bidi w:val="0"/>
              <w:rPr>
                <w:rFonts w:hint="default"/>
              </w:rPr>
            </w:pPr>
          </w:p>
        </w:tc>
      </w:tr>
      <w:tr w14:paraId="6EDB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noWrap w:val="0"/>
            <w:vAlign w:val="center"/>
          </w:tcPr>
          <w:p w14:paraId="0F9C5DE3">
            <w:pPr>
              <w:pStyle w:val="8"/>
              <w:bidi w:val="0"/>
              <w:rPr>
                <w:rFonts w:hint="default"/>
              </w:rPr>
            </w:pPr>
            <w:r>
              <w:rPr>
                <w:rFonts w:hint="default"/>
              </w:rPr>
              <w:t>2</w:t>
            </w:r>
          </w:p>
        </w:tc>
        <w:tc>
          <w:tcPr>
            <w:tcW w:w="787" w:type="dxa"/>
            <w:vMerge w:val="restart"/>
            <w:noWrap w:val="0"/>
            <w:vAlign w:val="center"/>
          </w:tcPr>
          <w:p w14:paraId="0B2EEAD0">
            <w:pPr>
              <w:pStyle w:val="8"/>
              <w:bidi w:val="0"/>
              <w:rPr>
                <w:rFonts w:hint="default"/>
              </w:rPr>
            </w:pPr>
            <w:r>
              <w:rPr>
                <w:rFonts w:hint="default"/>
              </w:rPr>
              <w:t>管理体系</w:t>
            </w:r>
          </w:p>
        </w:tc>
        <w:tc>
          <w:tcPr>
            <w:tcW w:w="920" w:type="dxa"/>
            <w:vMerge w:val="restart"/>
            <w:noWrap w:val="0"/>
            <w:vAlign w:val="center"/>
          </w:tcPr>
          <w:p w14:paraId="483FFB5E">
            <w:pPr>
              <w:pStyle w:val="8"/>
              <w:bidi w:val="0"/>
              <w:rPr>
                <w:rFonts w:hint="default"/>
                <w:lang w:eastAsia="zh-CN"/>
              </w:rPr>
            </w:pPr>
            <w:r>
              <w:rPr>
                <w:rFonts w:hint="default"/>
                <w:lang w:eastAsia="zh-CN"/>
              </w:rPr>
              <w:t>一般</w:t>
            </w:r>
          </w:p>
          <w:p w14:paraId="62C13A88">
            <w:pPr>
              <w:pStyle w:val="8"/>
              <w:bidi w:val="0"/>
              <w:rPr>
                <w:rFonts w:hint="default"/>
              </w:rPr>
            </w:pPr>
            <w:r>
              <w:rPr>
                <w:rFonts w:hint="default"/>
                <w:lang w:eastAsia="zh-CN"/>
              </w:rPr>
              <w:t>要求</w:t>
            </w:r>
          </w:p>
        </w:tc>
        <w:tc>
          <w:tcPr>
            <w:tcW w:w="6392" w:type="dxa"/>
            <w:noWrap w:val="0"/>
            <w:vAlign w:val="center"/>
          </w:tcPr>
          <w:p w14:paraId="513BD33D">
            <w:pPr>
              <w:pStyle w:val="8"/>
              <w:bidi w:val="0"/>
              <w:jc w:val="left"/>
              <w:rPr>
                <w:rFonts w:hint="default"/>
              </w:rPr>
            </w:pPr>
            <w:r>
              <w:rPr>
                <w:rFonts w:hint="default"/>
              </w:rPr>
              <w:t>工厂建立、实施并保持满足GB/T 19001的要求的质量管理体系。</w:t>
            </w:r>
          </w:p>
        </w:tc>
        <w:tc>
          <w:tcPr>
            <w:tcW w:w="2407" w:type="dxa"/>
            <w:noWrap w:val="0"/>
            <w:vAlign w:val="center"/>
          </w:tcPr>
          <w:p w14:paraId="6E56FE00">
            <w:pPr>
              <w:pStyle w:val="8"/>
              <w:bidi w:val="0"/>
              <w:rPr>
                <w:rFonts w:hint="default"/>
              </w:rPr>
            </w:pPr>
            <w:r>
              <w:rPr>
                <w:rFonts w:hint="default"/>
              </w:rPr>
              <w:t>　</w:t>
            </w:r>
          </w:p>
        </w:tc>
        <w:tc>
          <w:tcPr>
            <w:tcW w:w="1275" w:type="dxa"/>
            <w:noWrap w:val="0"/>
            <w:vAlign w:val="center"/>
          </w:tcPr>
          <w:p w14:paraId="67DDEFAC">
            <w:pPr>
              <w:pStyle w:val="8"/>
              <w:bidi w:val="0"/>
              <w:rPr>
                <w:rFonts w:hint="default"/>
              </w:rPr>
            </w:pPr>
            <w:r>
              <w:rPr>
                <w:rFonts w:hint="default"/>
                <w:lang w:eastAsia="zh-CN"/>
              </w:rPr>
              <w:t>必选</w:t>
            </w:r>
          </w:p>
        </w:tc>
        <w:tc>
          <w:tcPr>
            <w:tcW w:w="851" w:type="dxa"/>
            <w:noWrap w:val="0"/>
            <w:vAlign w:val="center"/>
          </w:tcPr>
          <w:p w14:paraId="35A39F25">
            <w:pPr>
              <w:pStyle w:val="8"/>
              <w:bidi w:val="0"/>
              <w:rPr>
                <w:rFonts w:hint="default"/>
                <w:lang w:val="en-US" w:eastAsia="zh-CN"/>
              </w:rPr>
            </w:pPr>
            <w:r>
              <w:rPr>
                <w:rFonts w:hint="default"/>
                <w:lang w:val="en-US" w:eastAsia="zh-CN"/>
              </w:rPr>
              <w:t>10</w:t>
            </w:r>
          </w:p>
        </w:tc>
        <w:tc>
          <w:tcPr>
            <w:tcW w:w="711" w:type="dxa"/>
            <w:vMerge w:val="restart"/>
            <w:noWrap w:val="0"/>
            <w:vAlign w:val="center"/>
          </w:tcPr>
          <w:p w14:paraId="7D81A574">
            <w:pPr>
              <w:pStyle w:val="8"/>
              <w:bidi w:val="0"/>
              <w:rPr>
                <w:rFonts w:hint="default"/>
              </w:rPr>
            </w:pPr>
            <w:r>
              <w:rPr>
                <w:rFonts w:hint="default"/>
              </w:rPr>
              <w:t>15%</w:t>
            </w:r>
          </w:p>
        </w:tc>
        <w:tc>
          <w:tcPr>
            <w:tcW w:w="770" w:type="dxa"/>
            <w:noWrap w:val="0"/>
            <w:vAlign w:val="center"/>
          </w:tcPr>
          <w:p w14:paraId="2515C7FF">
            <w:pPr>
              <w:pStyle w:val="8"/>
              <w:bidi w:val="0"/>
              <w:rPr>
                <w:rFonts w:hint="default"/>
              </w:rPr>
            </w:pPr>
            <w:r>
              <w:rPr>
                <w:rFonts w:hint="default"/>
              </w:rPr>
              <w:t>　</w:t>
            </w:r>
          </w:p>
        </w:tc>
      </w:tr>
      <w:tr w14:paraId="2D6F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F058C1D">
            <w:pPr>
              <w:pStyle w:val="8"/>
              <w:bidi w:val="0"/>
              <w:rPr>
                <w:rFonts w:hint="default"/>
              </w:rPr>
            </w:pPr>
          </w:p>
        </w:tc>
        <w:tc>
          <w:tcPr>
            <w:tcW w:w="787" w:type="dxa"/>
            <w:vMerge w:val="continue"/>
            <w:noWrap w:val="0"/>
            <w:vAlign w:val="center"/>
          </w:tcPr>
          <w:p w14:paraId="13B93F3F">
            <w:pPr>
              <w:pStyle w:val="8"/>
              <w:bidi w:val="0"/>
              <w:rPr>
                <w:rFonts w:hint="default"/>
              </w:rPr>
            </w:pPr>
          </w:p>
        </w:tc>
        <w:tc>
          <w:tcPr>
            <w:tcW w:w="920" w:type="dxa"/>
            <w:vMerge w:val="continue"/>
            <w:noWrap w:val="0"/>
            <w:vAlign w:val="center"/>
          </w:tcPr>
          <w:p w14:paraId="6E4F066A">
            <w:pPr>
              <w:pStyle w:val="8"/>
              <w:bidi w:val="0"/>
              <w:rPr>
                <w:rFonts w:hint="default"/>
              </w:rPr>
            </w:pPr>
          </w:p>
        </w:tc>
        <w:tc>
          <w:tcPr>
            <w:tcW w:w="6392" w:type="dxa"/>
            <w:noWrap w:val="0"/>
            <w:vAlign w:val="center"/>
          </w:tcPr>
          <w:p w14:paraId="3E186E6D">
            <w:pPr>
              <w:pStyle w:val="8"/>
              <w:bidi w:val="0"/>
              <w:jc w:val="left"/>
              <w:rPr>
                <w:rFonts w:hint="default"/>
              </w:rPr>
            </w:pPr>
            <w:r>
              <w:rPr>
                <w:rFonts w:hint="default"/>
              </w:rPr>
              <w:t>通过质量管理体系第三方认证。</w:t>
            </w:r>
          </w:p>
        </w:tc>
        <w:tc>
          <w:tcPr>
            <w:tcW w:w="2407" w:type="dxa"/>
            <w:noWrap w:val="0"/>
            <w:vAlign w:val="center"/>
          </w:tcPr>
          <w:p w14:paraId="46AF9E43">
            <w:pPr>
              <w:pStyle w:val="8"/>
              <w:bidi w:val="0"/>
              <w:rPr>
                <w:rFonts w:hint="default"/>
              </w:rPr>
            </w:pPr>
            <w:r>
              <w:rPr>
                <w:rFonts w:hint="default"/>
              </w:rPr>
              <w:t>　</w:t>
            </w:r>
          </w:p>
        </w:tc>
        <w:tc>
          <w:tcPr>
            <w:tcW w:w="1275" w:type="dxa"/>
            <w:noWrap w:val="0"/>
            <w:vAlign w:val="center"/>
          </w:tcPr>
          <w:p w14:paraId="7A26B167">
            <w:pPr>
              <w:pStyle w:val="8"/>
              <w:bidi w:val="0"/>
              <w:rPr>
                <w:rFonts w:hint="default"/>
              </w:rPr>
            </w:pPr>
            <w:r>
              <w:rPr>
                <w:rFonts w:hint="default"/>
                <w:lang w:eastAsia="zh-CN"/>
              </w:rPr>
              <w:t>可选</w:t>
            </w:r>
          </w:p>
        </w:tc>
        <w:tc>
          <w:tcPr>
            <w:tcW w:w="851" w:type="dxa"/>
            <w:noWrap w:val="0"/>
            <w:vAlign w:val="center"/>
          </w:tcPr>
          <w:p w14:paraId="34E04426">
            <w:pPr>
              <w:pStyle w:val="8"/>
              <w:bidi w:val="0"/>
              <w:rPr>
                <w:rFonts w:hint="default"/>
                <w:lang w:val="en-US" w:eastAsia="zh-CN"/>
              </w:rPr>
            </w:pPr>
            <w:r>
              <w:rPr>
                <w:rFonts w:hint="default"/>
                <w:lang w:val="en-US" w:eastAsia="zh-CN"/>
              </w:rPr>
              <w:t>8</w:t>
            </w:r>
          </w:p>
        </w:tc>
        <w:tc>
          <w:tcPr>
            <w:tcW w:w="711" w:type="dxa"/>
            <w:vMerge w:val="continue"/>
            <w:noWrap w:val="0"/>
            <w:vAlign w:val="center"/>
          </w:tcPr>
          <w:p w14:paraId="29211D83">
            <w:pPr>
              <w:pStyle w:val="8"/>
              <w:bidi w:val="0"/>
              <w:rPr>
                <w:rFonts w:hint="default"/>
              </w:rPr>
            </w:pPr>
          </w:p>
        </w:tc>
        <w:tc>
          <w:tcPr>
            <w:tcW w:w="770" w:type="dxa"/>
            <w:noWrap w:val="0"/>
            <w:vAlign w:val="center"/>
          </w:tcPr>
          <w:p w14:paraId="06D545CE">
            <w:pPr>
              <w:pStyle w:val="8"/>
              <w:bidi w:val="0"/>
              <w:rPr>
                <w:rFonts w:hint="default"/>
              </w:rPr>
            </w:pPr>
            <w:r>
              <w:rPr>
                <w:rFonts w:hint="default"/>
              </w:rPr>
              <w:t>　</w:t>
            </w:r>
          </w:p>
        </w:tc>
      </w:tr>
      <w:tr w14:paraId="32A6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39514D58">
            <w:pPr>
              <w:pStyle w:val="8"/>
              <w:bidi w:val="0"/>
              <w:rPr>
                <w:rFonts w:hint="default"/>
              </w:rPr>
            </w:pPr>
          </w:p>
        </w:tc>
        <w:tc>
          <w:tcPr>
            <w:tcW w:w="787" w:type="dxa"/>
            <w:vMerge w:val="continue"/>
            <w:noWrap w:val="0"/>
            <w:vAlign w:val="center"/>
          </w:tcPr>
          <w:p w14:paraId="7E13012B">
            <w:pPr>
              <w:pStyle w:val="8"/>
              <w:bidi w:val="0"/>
              <w:rPr>
                <w:rFonts w:hint="default"/>
              </w:rPr>
            </w:pPr>
          </w:p>
        </w:tc>
        <w:tc>
          <w:tcPr>
            <w:tcW w:w="920" w:type="dxa"/>
            <w:vMerge w:val="continue"/>
            <w:noWrap w:val="0"/>
            <w:vAlign w:val="center"/>
          </w:tcPr>
          <w:p w14:paraId="5C5418E9">
            <w:pPr>
              <w:pStyle w:val="8"/>
              <w:bidi w:val="0"/>
              <w:rPr>
                <w:rFonts w:hint="default"/>
              </w:rPr>
            </w:pPr>
          </w:p>
        </w:tc>
        <w:tc>
          <w:tcPr>
            <w:tcW w:w="6392" w:type="dxa"/>
            <w:noWrap w:val="0"/>
            <w:vAlign w:val="center"/>
          </w:tcPr>
          <w:p w14:paraId="7C107166">
            <w:pPr>
              <w:pStyle w:val="8"/>
              <w:bidi w:val="0"/>
              <w:jc w:val="left"/>
              <w:rPr>
                <w:rFonts w:hint="default"/>
              </w:rPr>
            </w:pPr>
            <w:r>
              <w:rPr>
                <w:rFonts w:hint="default"/>
              </w:rPr>
              <w:t>工厂建立、实施并保持满足GB/T 28001要求的职业健康安全管理体系。</w:t>
            </w:r>
          </w:p>
        </w:tc>
        <w:tc>
          <w:tcPr>
            <w:tcW w:w="2407" w:type="dxa"/>
            <w:noWrap w:val="0"/>
            <w:vAlign w:val="center"/>
          </w:tcPr>
          <w:p w14:paraId="65B7483A">
            <w:pPr>
              <w:pStyle w:val="8"/>
              <w:bidi w:val="0"/>
              <w:rPr>
                <w:rFonts w:hint="default"/>
              </w:rPr>
            </w:pPr>
            <w:r>
              <w:rPr>
                <w:rFonts w:hint="default"/>
              </w:rPr>
              <w:t>　</w:t>
            </w:r>
          </w:p>
        </w:tc>
        <w:tc>
          <w:tcPr>
            <w:tcW w:w="1275" w:type="dxa"/>
            <w:noWrap w:val="0"/>
            <w:vAlign w:val="center"/>
          </w:tcPr>
          <w:p w14:paraId="6DE71144">
            <w:pPr>
              <w:pStyle w:val="8"/>
              <w:bidi w:val="0"/>
              <w:rPr>
                <w:rFonts w:hint="default"/>
              </w:rPr>
            </w:pPr>
            <w:r>
              <w:rPr>
                <w:rFonts w:hint="default"/>
                <w:lang w:eastAsia="zh-CN"/>
              </w:rPr>
              <w:t>必选</w:t>
            </w:r>
          </w:p>
        </w:tc>
        <w:tc>
          <w:tcPr>
            <w:tcW w:w="851" w:type="dxa"/>
            <w:noWrap w:val="0"/>
            <w:vAlign w:val="center"/>
          </w:tcPr>
          <w:p w14:paraId="20C6CB53">
            <w:pPr>
              <w:pStyle w:val="8"/>
              <w:bidi w:val="0"/>
              <w:rPr>
                <w:rFonts w:hint="default"/>
                <w:lang w:val="en-US" w:eastAsia="zh-CN"/>
              </w:rPr>
            </w:pPr>
            <w:r>
              <w:rPr>
                <w:rFonts w:hint="default"/>
                <w:lang w:val="en-US" w:eastAsia="zh-CN"/>
              </w:rPr>
              <w:t>10</w:t>
            </w:r>
          </w:p>
        </w:tc>
        <w:tc>
          <w:tcPr>
            <w:tcW w:w="711" w:type="dxa"/>
            <w:vMerge w:val="continue"/>
            <w:noWrap w:val="0"/>
            <w:vAlign w:val="center"/>
          </w:tcPr>
          <w:p w14:paraId="3CF72AC5">
            <w:pPr>
              <w:pStyle w:val="8"/>
              <w:bidi w:val="0"/>
              <w:rPr>
                <w:rFonts w:hint="default"/>
              </w:rPr>
            </w:pPr>
          </w:p>
        </w:tc>
        <w:tc>
          <w:tcPr>
            <w:tcW w:w="770" w:type="dxa"/>
            <w:noWrap w:val="0"/>
            <w:vAlign w:val="center"/>
          </w:tcPr>
          <w:p w14:paraId="0CCD66B2">
            <w:pPr>
              <w:pStyle w:val="8"/>
              <w:bidi w:val="0"/>
              <w:rPr>
                <w:rFonts w:hint="default"/>
              </w:rPr>
            </w:pPr>
            <w:r>
              <w:rPr>
                <w:rFonts w:hint="default"/>
              </w:rPr>
              <w:t>　</w:t>
            </w:r>
          </w:p>
        </w:tc>
      </w:tr>
      <w:tr w14:paraId="07512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D7BA430">
            <w:pPr>
              <w:pStyle w:val="8"/>
              <w:bidi w:val="0"/>
              <w:rPr>
                <w:rFonts w:hint="default"/>
              </w:rPr>
            </w:pPr>
          </w:p>
        </w:tc>
        <w:tc>
          <w:tcPr>
            <w:tcW w:w="787" w:type="dxa"/>
            <w:vMerge w:val="continue"/>
            <w:noWrap w:val="0"/>
            <w:vAlign w:val="center"/>
          </w:tcPr>
          <w:p w14:paraId="0A4168AC">
            <w:pPr>
              <w:pStyle w:val="8"/>
              <w:bidi w:val="0"/>
              <w:rPr>
                <w:rFonts w:hint="default"/>
              </w:rPr>
            </w:pPr>
          </w:p>
        </w:tc>
        <w:tc>
          <w:tcPr>
            <w:tcW w:w="920" w:type="dxa"/>
            <w:vMerge w:val="continue"/>
            <w:noWrap w:val="0"/>
            <w:vAlign w:val="center"/>
          </w:tcPr>
          <w:p w14:paraId="64E8D77B">
            <w:pPr>
              <w:pStyle w:val="8"/>
              <w:bidi w:val="0"/>
              <w:rPr>
                <w:rFonts w:hint="default"/>
              </w:rPr>
            </w:pPr>
          </w:p>
        </w:tc>
        <w:tc>
          <w:tcPr>
            <w:tcW w:w="6392" w:type="dxa"/>
            <w:noWrap w:val="0"/>
            <w:vAlign w:val="center"/>
          </w:tcPr>
          <w:p w14:paraId="56078231">
            <w:pPr>
              <w:pStyle w:val="8"/>
              <w:bidi w:val="0"/>
              <w:jc w:val="left"/>
              <w:rPr>
                <w:rFonts w:hint="default"/>
              </w:rPr>
            </w:pPr>
            <w:r>
              <w:rPr>
                <w:rFonts w:hint="default"/>
              </w:rPr>
              <w:t>通过职业健康安全管理体系第三方认证。</w:t>
            </w:r>
          </w:p>
        </w:tc>
        <w:tc>
          <w:tcPr>
            <w:tcW w:w="2407" w:type="dxa"/>
            <w:noWrap w:val="0"/>
            <w:vAlign w:val="center"/>
          </w:tcPr>
          <w:p w14:paraId="369E53ED">
            <w:pPr>
              <w:pStyle w:val="8"/>
              <w:bidi w:val="0"/>
              <w:rPr>
                <w:rFonts w:hint="default"/>
              </w:rPr>
            </w:pPr>
            <w:r>
              <w:rPr>
                <w:rFonts w:hint="default"/>
              </w:rPr>
              <w:t>　</w:t>
            </w:r>
          </w:p>
        </w:tc>
        <w:tc>
          <w:tcPr>
            <w:tcW w:w="1275" w:type="dxa"/>
            <w:noWrap w:val="0"/>
            <w:vAlign w:val="center"/>
          </w:tcPr>
          <w:p w14:paraId="2C84D595">
            <w:pPr>
              <w:pStyle w:val="8"/>
              <w:bidi w:val="0"/>
              <w:rPr>
                <w:rFonts w:hint="default"/>
              </w:rPr>
            </w:pPr>
            <w:r>
              <w:rPr>
                <w:rFonts w:hint="default"/>
                <w:lang w:eastAsia="zh-CN"/>
              </w:rPr>
              <w:t>可选</w:t>
            </w:r>
          </w:p>
        </w:tc>
        <w:tc>
          <w:tcPr>
            <w:tcW w:w="851" w:type="dxa"/>
            <w:noWrap w:val="0"/>
            <w:vAlign w:val="center"/>
          </w:tcPr>
          <w:p w14:paraId="0A83BE6C">
            <w:pPr>
              <w:pStyle w:val="8"/>
              <w:bidi w:val="0"/>
              <w:rPr>
                <w:rFonts w:hint="default"/>
                <w:lang w:val="en-US" w:eastAsia="zh-CN"/>
              </w:rPr>
            </w:pPr>
            <w:r>
              <w:rPr>
                <w:rFonts w:hint="default"/>
                <w:lang w:val="en-US" w:eastAsia="zh-CN"/>
              </w:rPr>
              <w:t>8</w:t>
            </w:r>
          </w:p>
        </w:tc>
        <w:tc>
          <w:tcPr>
            <w:tcW w:w="711" w:type="dxa"/>
            <w:vMerge w:val="continue"/>
            <w:noWrap w:val="0"/>
            <w:vAlign w:val="center"/>
          </w:tcPr>
          <w:p w14:paraId="0C2BE705">
            <w:pPr>
              <w:pStyle w:val="8"/>
              <w:bidi w:val="0"/>
              <w:rPr>
                <w:rFonts w:hint="default"/>
              </w:rPr>
            </w:pPr>
          </w:p>
        </w:tc>
        <w:tc>
          <w:tcPr>
            <w:tcW w:w="770" w:type="dxa"/>
            <w:noWrap w:val="0"/>
            <w:vAlign w:val="center"/>
          </w:tcPr>
          <w:p w14:paraId="043EB171">
            <w:pPr>
              <w:pStyle w:val="8"/>
              <w:bidi w:val="0"/>
              <w:rPr>
                <w:rFonts w:hint="default"/>
              </w:rPr>
            </w:pPr>
            <w:r>
              <w:rPr>
                <w:rFonts w:hint="default"/>
              </w:rPr>
              <w:t>　</w:t>
            </w:r>
          </w:p>
        </w:tc>
      </w:tr>
      <w:tr w14:paraId="7033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8CE8ED1">
            <w:pPr>
              <w:pStyle w:val="8"/>
              <w:bidi w:val="0"/>
              <w:rPr>
                <w:rFonts w:hint="default"/>
              </w:rPr>
            </w:pPr>
          </w:p>
        </w:tc>
        <w:tc>
          <w:tcPr>
            <w:tcW w:w="787" w:type="dxa"/>
            <w:vMerge w:val="continue"/>
            <w:noWrap w:val="0"/>
            <w:vAlign w:val="center"/>
          </w:tcPr>
          <w:p w14:paraId="6AB267FB">
            <w:pPr>
              <w:pStyle w:val="8"/>
              <w:bidi w:val="0"/>
              <w:rPr>
                <w:rFonts w:hint="default"/>
              </w:rPr>
            </w:pPr>
          </w:p>
        </w:tc>
        <w:tc>
          <w:tcPr>
            <w:tcW w:w="920" w:type="dxa"/>
            <w:vMerge w:val="restart"/>
            <w:noWrap w:val="0"/>
            <w:vAlign w:val="center"/>
          </w:tcPr>
          <w:p w14:paraId="53CADAF5">
            <w:pPr>
              <w:pStyle w:val="8"/>
              <w:bidi w:val="0"/>
              <w:rPr>
                <w:rFonts w:hint="default"/>
              </w:rPr>
            </w:pPr>
            <w:r>
              <w:rPr>
                <w:rFonts w:hint="default"/>
              </w:rPr>
              <w:t>环境管理体系</w:t>
            </w:r>
          </w:p>
        </w:tc>
        <w:tc>
          <w:tcPr>
            <w:tcW w:w="6392" w:type="dxa"/>
            <w:noWrap w:val="0"/>
            <w:vAlign w:val="center"/>
          </w:tcPr>
          <w:p w14:paraId="115175CF">
            <w:pPr>
              <w:pStyle w:val="8"/>
              <w:bidi w:val="0"/>
              <w:jc w:val="left"/>
              <w:rPr>
                <w:rFonts w:hint="default"/>
              </w:rPr>
            </w:pPr>
            <w:r>
              <w:rPr>
                <w:rFonts w:hint="default"/>
              </w:rPr>
              <w:t>工厂建立、实施并保持满足GB/T 24001要求的环境管理体系。</w:t>
            </w:r>
          </w:p>
        </w:tc>
        <w:tc>
          <w:tcPr>
            <w:tcW w:w="2407" w:type="dxa"/>
            <w:noWrap w:val="0"/>
            <w:vAlign w:val="center"/>
          </w:tcPr>
          <w:p w14:paraId="1FBED480">
            <w:pPr>
              <w:pStyle w:val="8"/>
              <w:bidi w:val="0"/>
              <w:rPr>
                <w:rFonts w:hint="default"/>
              </w:rPr>
            </w:pPr>
            <w:r>
              <w:rPr>
                <w:rFonts w:hint="default"/>
              </w:rPr>
              <w:t>　</w:t>
            </w:r>
          </w:p>
        </w:tc>
        <w:tc>
          <w:tcPr>
            <w:tcW w:w="1275" w:type="dxa"/>
            <w:noWrap w:val="0"/>
            <w:vAlign w:val="center"/>
          </w:tcPr>
          <w:p w14:paraId="2D97673C">
            <w:pPr>
              <w:pStyle w:val="8"/>
              <w:bidi w:val="0"/>
              <w:rPr>
                <w:rFonts w:hint="default"/>
              </w:rPr>
            </w:pPr>
            <w:r>
              <w:rPr>
                <w:rFonts w:hint="default"/>
                <w:lang w:eastAsia="zh-CN"/>
              </w:rPr>
              <w:t>必选</w:t>
            </w:r>
          </w:p>
        </w:tc>
        <w:tc>
          <w:tcPr>
            <w:tcW w:w="851" w:type="dxa"/>
            <w:noWrap w:val="0"/>
            <w:vAlign w:val="center"/>
          </w:tcPr>
          <w:p w14:paraId="6AD14B55">
            <w:pPr>
              <w:pStyle w:val="8"/>
              <w:bidi w:val="0"/>
              <w:rPr>
                <w:rFonts w:hint="default"/>
                <w:lang w:val="en-US" w:eastAsia="zh-CN"/>
              </w:rPr>
            </w:pPr>
            <w:r>
              <w:rPr>
                <w:rFonts w:hint="default"/>
                <w:lang w:val="en-US" w:eastAsia="zh-CN"/>
              </w:rPr>
              <w:t>20</w:t>
            </w:r>
          </w:p>
        </w:tc>
        <w:tc>
          <w:tcPr>
            <w:tcW w:w="711" w:type="dxa"/>
            <w:vMerge w:val="continue"/>
            <w:noWrap w:val="0"/>
            <w:vAlign w:val="center"/>
          </w:tcPr>
          <w:p w14:paraId="491AA072">
            <w:pPr>
              <w:pStyle w:val="8"/>
              <w:bidi w:val="0"/>
              <w:rPr>
                <w:rFonts w:hint="default"/>
              </w:rPr>
            </w:pPr>
          </w:p>
        </w:tc>
        <w:tc>
          <w:tcPr>
            <w:tcW w:w="770" w:type="dxa"/>
            <w:noWrap w:val="0"/>
            <w:vAlign w:val="center"/>
          </w:tcPr>
          <w:p w14:paraId="39226D03">
            <w:pPr>
              <w:pStyle w:val="8"/>
              <w:bidi w:val="0"/>
              <w:rPr>
                <w:rFonts w:hint="default"/>
              </w:rPr>
            </w:pPr>
            <w:r>
              <w:rPr>
                <w:rFonts w:hint="default"/>
              </w:rPr>
              <w:t>　</w:t>
            </w:r>
          </w:p>
        </w:tc>
      </w:tr>
      <w:tr w14:paraId="1F9F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3C4CF831">
            <w:pPr>
              <w:pStyle w:val="8"/>
              <w:bidi w:val="0"/>
              <w:rPr>
                <w:rFonts w:hint="default"/>
              </w:rPr>
            </w:pPr>
          </w:p>
        </w:tc>
        <w:tc>
          <w:tcPr>
            <w:tcW w:w="787" w:type="dxa"/>
            <w:vMerge w:val="continue"/>
            <w:noWrap w:val="0"/>
            <w:vAlign w:val="center"/>
          </w:tcPr>
          <w:p w14:paraId="402DEEC9">
            <w:pPr>
              <w:pStyle w:val="8"/>
              <w:bidi w:val="0"/>
              <w:rPr>
                <w:rFonts w:hint="default"/>
              </w:rPr>
            </w:pPr>
          </w:p>
        </w:tc>
        <w:tc>
          <w:tcPr>
            <w:tcW w:w="920" w:type="dxa"/>
            <w:vMerge w:val="continue"/>
            <w:noWrap w:val="0"/>
            <w:vAlign w:val="center"/>
          </w:tcPr>
          <w:p w14:paraId="6D1FBBF9">
            <w:pPr>
              <w:pStyle w:val="8"/>
              <w:bidi w:val="0"/>
              <w:rPr>
                <w:rFonts w:hint="default"/>
              </w:rPr>
            </w:pPr>
          </w:p>
        </w:tc>
        <w:tc>
          <w:tcPr>
            <w:tcW w:w="6392" w:type="dxa"/>
            <w:noWrap w:val="0"/>
            <w:vAlign w:val="center"/>
          </w:tcPr>
          <w:p w14:paraId="6D63BE94">
            <w:pPr>
              <w:pStyle w:val="8"/>
              <w:bidi w:val="0"/>
              <w:jc w:val="left"/>
              <w:rPr>
                <w:rFonts w:hint="default"/>
              </w:rPr>
            </w:pPr>
            <w:r>
              <w:rPr>
                <w:rFonts w:hint="default"/>
              </w:rPr>
              <w:t>通过环境管理体系第三方认证。</w:t>
            </w:r>
          </w:p>
        </w:tc>
        <w:tc>
          <w:tcPr>
            <w:tcW w:w="2407" w:type="dxa"/>
            <w:noWrap w:val="0"/>
            <w:vAlign w:val="center"/>
          </w:tcPr>
          <w:p w14:paraId="21F3363F">
            <w:pPr>
              <w:pStyle w:val="8"/>
              <w:bidi w:val="0"/>
              <w:rPr>
                <w:rFonts w:hint="default"/>
              </w:rPr>
            </w:pPr>
            <w:r>
              <w:rPr>
                <w:rFonts w:hint="default"/>
              </w:rPr>
              <w:t>　</w:t>
            </w:r>
          </w:p>
        </w:tc>
        <w:tc>
          <w:tcPr>
            <w:tcW w:w="1275" w:type="dxa"/>
            <w:noWrap w:val="0"/>
            <w:vAlign w:val="center"/>
          </w:tcPr>
          <w:p w14:paraId="4A49286B">
            <w:pPr>
              <w:pStyle w:val="8"/>
              <w:bidi w:val="0"/>
              <w:rPr>
                <w:rFonts w:hint="default"/>
              </w:rPr>
            </w:pPr>
            <w:r>
              <w:rPr>
                <w:rFonts w:hint="default"/>
                <w:lang w:eastAsia="zh-CN"/>
              </w:rPr>
              <w:t>可选</w:t>
            </w:r>
          </w:p>
        </w:tc>
        <w:tc>
          <w:tcPr>
            <w:tcW w:w="851" w:type="dxa"/>
            <w:noWrap w:val="0"/>
            <w:vAlign w:val="center"/>
          </w:tcPr>
          <w:p w14:paraId="4C7AB9B7">
            <w:pPr>
              <w:pStyle w:val="8"/>
              <w:bidi w:val="0"/>
              <w:rPr>
                <w:rFonts w:hint="default"/>
                <w:lang w:val="en-US" w:eastAsia="zh-CN"/>
              </w:rPr>
            </w:pPr>
            <w:r>
              <w:rPr>
                <w:rFonts w:hint="default"/>
                <w:lang w:val="en-US" w:eastAsia="zh-CN"/>
              </w:rPr>
              <w:t>10</w:t>
            </w:r>
          </w:p>
        </w:tc>
        <w:tc>
          <w:tcPr>
            <w:tcW w:w="711" w:type="dxa"/>
            <w:vMerge w:val="continue"/>
            <w:noWrap w:val="0"/>
            <w:vAlign w:val="center"/>
          </w:tcPr>
          <w:p w14:paraId="65CC393B">
            <w:pPr>
              <w:pStyle w:val="8"/>
              <w:bidi w:val="0"/>
              <w:rPr>
                <w:rFonts w:hint="default"/>
              </w:rPr>
            </w:pPr>
          </w:p>
        </w:tc>
        <w:tc>
          <w:tcPr>
            <w:tcW w:w="770" w:type="dxa"/>
            <w:noWrap w:val="0"/>
            <w:vAlign w:val="center"/>
          </w:tcPr>
          <w:p w14:paraId="5C10306B">
            <w:pPr>
              <w:pStyle w:val="8"/>
              <w:bidi w:val="0"/>
              <w:rPr>
                <w:rFonts w:hint="default"/>
              </w:rPr>
            </w:pPr>
            <w:r>
              <w:rPr>
                <w:rFonts w:hint="default"/>
              </w:rPr>
              <w:t>　</w:t>
            </w:r>
          </w:p>
        </w:tc>
      </w:tr>
      <w:tr w14:paraId="4454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19C21A0">
            <w:pPr>
              <w:pStyle w:val="8"/>
              <w:bidi w:val="0"/>
              <w:rPr>
                <w:rFonts w:hint="default"/>
              </w:rPr>
            </w:pPr>
          </w:p>
        </w:tc>
        <w:tc>
          <w:tcPr>
            <w:tcW w:w="787" w:type="dxa"/>
            <w:vMerge w:val="continue"/>
            <w:noWrap w:val="0"/>
            <w:vAlign w:val="center"/>
          </w:tcPr>
          <w:p w14:paraId="03CE34D6">
            <w:pPr>
              <w:pStyle w:val="8"/>
              <w:bidi w:val="0"/>
              <w:rPr>
                <w:rFonts w:hint="default"/>
              </w:rPr>
            </w:pPr>
          </w:p>
        </w:tc>
        <w:tc>
          <w:tcPr>
            <w:tcW w:w="920" w:type="dxa"/>
            <w:vMerge w:val="restart"/>
            <w:noWrap w:val="0"/>
            <w:vAlign w:val="center"/>
          </w:tcPr>
          <w:p w14:paraId="2A33E50D">
            <w:pPr>
              <w:pStyle w:val="8"/>
              <w:bidi w:val="0"/>
              <w:rPr>
                <w:rFonts w:hint="default"/>
              </w:rPr>
            </w:pPr>
            <w:r>
              <w:rPr>
                <w:rFonts w:hint="default"/>
              </w:rPr>
              <w:t>能源管理体系</w:t>
            </w:r>
          </w:p>
        </w:tc>
        <w:tc>
          <w:tcPr>
            <w:tcW w:w="6392" w:type="dxa"/>
            <w:noWrap w:val="0"/>
            <w:vAlign w:val="center"/>
          </w:tcPr>
          <w:p w14:paraId="1810D430">
            <w:pPr>
              <w:pStyle w:val="8"/>
              <w:bidi w:val="0"/>
              <w:jc w:val="left"/>
              <w:rPr>
                <w:rFonts w:hint="default"/>
              </w:rPr>
            </w:pPr>
            <w:r>
              <w:rPr>
                <w:rFonts w:hint="default"/>
              </w:rPr>
              <w:t>工厂建立、实施并保持满足GB/T 23331要求的能源管理体系。</w:t>
            </w:r>
          </w:p>
        </w:tc>
        <w:tc>
          <w:tcPr>
            <w:tcW w:w="2407" w:type="dxa"/>
            <w:noWrap w:val="0"/>
            <w:vAlign w:val="center"/>
          </w:tcPr>
          <w:p w14:paraId="7A6722D1">
            <w:pPr>
              <w:pStyle w:val="8"/>
              <w:bidi w:val="0"/>
              <w:rPr>
                <w:rFonts w:hint="default"/>
              </w:rPr>
            </w:pPr>
            <w:r>
              <w:rPr>
                <w:rFonts w:hint="default"/>
              </w:rPr>
              <w:t>　</w:t>
            </w:r>
          </w:p>
        </w:tc>
        <w:tc>
          <w:tcPr>
            <w:tcW w:w="1275" w:type="dxa"/>
            <w:noWrap w:val="0"/>
            <w:vAlign w:val="center"/>
          </w:tcPr>
          <w:p w14:paraId="42AD29B5">
            <w:pPr>
              <w:pStyle w:val="8"/>
              <w:bidi w:val="0"/>
              <w:rPr>
                <w:rFonts w:hint="default"/>
              </w:rPr>
            </w:pPr>
            <w:r>
              <w:rPr>
                <w:rFonts w:hint="default"/>
                <w:lang w:eastAsia="zh-CN"/>
              </w:rPr>
              <w:t>必选</w:t>
            </w:r>
          </w:p>
        </w:tc>
        <w:tc>
          <w:tcPr>
            <w:tcW w:w="851" w:type="dxa"/>
            <w:noWrap w:val="0"/>
            <w:vAlign w:val="center"/>
          </w:tcPr>
          <w:p w14:paraId="1205D788">
            <w:pPr>
              <w:pStyle w:val="8"/>
              <w:bidi w:val="0"/>
              <w:rPr>
                <w:rFonts w:hint="default"/>
                <w:lang w:val="en-US" w:eastAsia="zh-CN"/>
              </w:rPr>
            </w:pPr>
            <w:r>
              <w:rPr>
                <w:rFonts w:hint="default"/>
                <w:lang w:val="en-US" w:eastAsia="zh-CN"/>
              </w:rPr>
              <w:t>20</w:t>
            </w:r>
          </w:p>
        </w:tc>
        <w:tc>
          <w:tcPr>
            <w:tcW w:w="711" w:type="dxa"/>
            <w:vMerge w:val="continue"/>
            <w:noWrap w:val="0"/>
            <w:vAlign w:val="center"/>
          </w:tcPr>
          <w:p w14:paraId="3C4BC750">
            <w:pPr>
              <w:pStyle w:val="8"/>
              <w:bidi w:val="0"/>
              <w:rPr>
                <w:rFonts w:hint="default"/>
              </w:rPr>
            </w:pPr>
          </w:p>
        </w:tc>
        <w:tc>
          <w:tcPr>
            <w:tcW w:w="770" w:type="dxa"/>
            <w:noWrap w:val="0"/>
            <w:vAlign w:val="center"/>
          </w:tcPr>
          <w:p w14:paraId="723F9252">
            <w:pPr>
              <w:pStyle w:val="8"/>
              <w:bidi w:val="0"/>
              <w:rPr>
                <w:rFonts w:hint="default"/>
              </w:rPr>
            </w:pPr>
            <w:r>
              <w:rPr>
                <w:rFonts w:hint="default"/>
              </w:rPr>
              <w:t>　</w:t>
            </w:r>
          </w:p>
        </w:tc>
      </w:tr>
      <w:tr w14:paraId="3560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4BCD341D">
            <w:pPr>
              <w:pStyle w:val="8"/>
              <w:bidi w:val="0"/>
              <w:rPr>
                <w:rFonts w:hint="default"/>
              </w:rPr>
            </w:pPr>
          </w:p>
        </w:tc>
        <w:tc>
          <w:tcPr>
            <w:tcW w:w="787" w:type="dxa"/>
            <w:vMerge w:val="continue"/>
            <w:noWrap w:val="0"/>
            <w:vAlign w:val="center"/>
          </w:tcPr>
          <w:p w14:paraId="5775ADA3">
            <w:pPr>
              <w:pStyle w:val="8"/>
              <w:bidi w:val="0"/>
              <w:rPr>
                <w:rFonts w:hint="default"/>
              </w:rPr>
            </w:pPr>
          </w:p>
        </w:tc>
        <w:tc>
          <w:tcPr>
            <w:tcW w:w="920" w:type="dxa"/>
            <w:vMerge w:val="continue"/>
            <w:noWrap w:val="0"/>
            <w:vAlign w:val="center"/>
          </w:tcPr>
          <w:p w14:paraId="24DBE934">
            <w:pPr>
              <w:pStyle w:val="8"/>
              <w:bidi w:val="0"/>
              <w:rPr>
                <w:rFonts w:hint="default"/>
              </w:rPr>
            </w:pPr>
          </w:p>
        </w:tc>
        <w:tc>
          <w:tcPr>
            <w:tcW w:w="6392" w:type="dxa"/>
            <w:noWrap w:val="0"/>
            <w:vAlign w:val="center"/>
          </w:tcPr>
          <w:p w14:paraId="5F9D1B3C">
            <w:pPr>
              <w:pStyle w:val="8"/>
              <w:bidi w:val="0"/>
              <w:jc w:val="left"/>
              <w:rPr>
                <w:rFonts w:hint="default"/>
              </w:rPr>
            </w:pPr>
            <w:r>
              <w:rPr>
                <w:rFonts w:hint="default"/>
              </w:rPr>
              <w:t>通过能源管理体系第三方认证。</w:t>
            </w:r>
          </w:p>
        </w:tc>
        <w:tc>
          <w:tcPr>
            <w:tcW w:w="2407" w:type="dxa"/>
            <w:noWrap w:val="0"/>
            <w:vAlign w:val="center"/>
          </w:tcPr>
          <w:p w14:paraId="6F37D7AA">
            <w:pPr>
              <w:pStyle w:val="8"/>
              <w:bidi w:val="0"/>
              <w:rPr>
                <w:rFonts w:hint="default"/>
              </w:rPr>
            </w:pPr>
            <w:r>
              <w:rPr>
                <w:rFonts w:hint="default"/>
              </w:rPr>
              <w:t>　</w:t>
            </w:r>
          </w:p>
        </w:tc>
        <w:tc>
          <w:tcPr>
            <w:tcW w:w="1275" w:type="dxa"/>
            <w:noWrap w:val="0"/>
            <w:vAlign w:val="center"/>
          </w:tcPr>
          <w:p w14:paraId="3F0CD5C3">
            <w:pPr>
              <w:pStyle w:val="8"/>
              <w:bidi w:val="0"/>
              <w:rPr>
                <w:rFonts w:hint="default"/>
              </w:rPr>
            </w:pPr>
            <w:r>
              <w:rPr>
                <w:rFonts w:hint="default"/>
                <w:lang w:eastAsia="zh-CN"/>
              </w:rPr>
              <w:t>可选</w:t>
            </w:r>
          </w:p>
        </w:tc>
        <w:tc>
          <w:tcPr>
            <w:tcW w:w="851" w:type="dxa"/>
            <w:noWrap w:val="0"/>
            <w:vAlign w:val="center"/>
          </w:tcPr>
          <w:p w14:paraId="4B82B329">
            <w:pPr>
              <w:pStyle w:val="8"/>
              <w:bidi w:val="0"/>
              <w:rPr>
                <w:rFonts w:hint="default"/>
                <w:lang w:val="en-US" w:eastAsia="zh-CN"/>
              </w:rPr>
            </w:pPr>
            <w:r>
              <w:rPr>
                <w:rFonts w:hint="default"/>
                <w:lang w:val="en-US" w:eastAsia="zh-CN"/>
              </w:rPr>
              <w:t>10</w:t>
            </w:r>
          </w:p>
        </w:tc>
        <w:tc>
          <w:tcPr>
            <w:tcW w:w="711" w:type="dxa"/>
            <w:vMerge w:val="continue"/>
            <w:noWrap w:val="0"/>
            <w:vAlign w:val="center"/>
          </w:tcPr>
          <w:p w14:paraId="2F8854DB">
            <w:pPr>
              <w:pStyle w:val="8"/>
              <w:bidi w:val="0"/>
              <w:rPr>
                <w:rFonts w:hint="default"/>
              </w:rPr>
            </w:pPr>
          </w:p>
        </w:tc>
        <w:tc>
          <w:tcPr>
            <w:tcW w:w="770" w:type="dxa"/>
            <w:noWrap w:val="0"/>
            <w:vAlign w:val="center"/>
          </w:tcPr>
          <w:p w14:paraId="648F791E">
            <w:pPr>
              <w:pStyle w:val="8"/>
              <w:bidi w:val="0"/>
              <w:rPr>
                <w:rFonts w:hint="default"/>
              </w:rPr>
            </w:pPr>
            <w:r>
              <w:rPr>
                <w:rFonts w:hint="default"/>
              </w:rPr>
              <w:t>　</w:t>
            </w:r>
          </w:p>
        </w:tc>
      </w:tr>
      <w:tr w14:paraId="60EB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6A6153B">
            <w:pPr>
              <w:pStyle w:val="8"/>
              <w:bidi w:val="0"/>
              <w:rPr>
                <w:rFonts w:hint="default"/>
              </w:rPr>
            </w:pPr>
          </w:p>
        </w:tc>
        <w:tc>
          <w:tcPr>
            <w:tcW w:w="787" w:type="dxa"/>
            <w:vMerge w:val="continue"/>
            <w:noWrap w:val="0"/>
            <w:vAlign w:val="center"/>
          </w:tcPr>
          <w:p w14:paraId="4421AF03">
            <w:pPr>
              <w:pStyle w:val="8"/>
              <w:bidi w:val="0"/>
              <w:rPr>
                <w:rFonts w:hint="default"/>
              </w:rPr>
            </w:pPr>
          </w:p>
        </w:tc>
        <w:tc>
          <w:tcPr>
            <w:tcW w:w="920" w:type="dxa"/>
            <w:noWrap w:val="0"/>
            <w:vAlign w:val="center"/>
          </w:tcPr>
          <w:p w14:paraId="4C097B5A">
            <w:pPr>
              <w:pStyle w:val="8"/>
              <w:bidi w:val="0"/>
              <w:rPr>
                <w:rFonts w:hint="default"/>
              </w:rPr>
            </w:pPr>
            <w:r>
              <w:rPr>
                <w:rFonts w:hint="default"/>
              </w:rPr>
              <w:t>社会</w:t>
            </w:r>
          </w:p>
          <w:p w14:paraId="4CD89466">
            <w:pPr>
              <w:pStyle w:val="8"/>
              <w:bidi w:val="0"/>
              <w:rPr>
                <w:rFonts w:hint="default"/>
              </w:rPr>
            </w:pPr>
            <w:r>
              <w:rPr>
                <w:rFonts w:hint="default"/>
              </w:rPr>
              <w:t>责任</w:t>
            </w:r>
          </w:p>
        </w:tc>
        <w:tc>
          <w:tcPr>
            <w:tcW w:w="6392" w:type="dxa"/>
            <w:noWrap w:val="0"/>
            <w:vAlign w:val="center"/>
          </w:tcPr>
          <w:p w14:paraId="7069741A">
            <w:pPr>
              <w:pStyle w:val="8"/>
              <w:bidi w:val="0"/>
              <w:jc w:val="left"/>
              <w:rPr>
                <w:rFonts w:hint="default"/>
              </w:rPr>
            </w:pPr>
            <w:r>
              <w:rPr>
                <w:rFonts w:hint="default"/>
              </w:rPr>
              <w:t>每年发布社会责任报告，说明履行利益相关方责任的情况，特别是环境社会责任的履行情况，报告公开可获得。</w:t>
            </w:r>
          </w:p>
        </w:tc>
        <w:tc>
          <w:tcPr>
            <w:tcW w:w="2407" w:type="dxa"/>
            <w:noWrap w:val="0"/>
            <w:vAlign w:val="center"/>
          </w:tcPr>
          <w:p w14:paraId="5994A246">
            <w:pPr>
              <w:pStyle w:val="8"/>
              <w:bidi w:val="0"/>
              <w:rPr>
                <w:rFonts w:hint="default"/>
              </w:rPr>
            </w:pPr>
            <w:r>
              <w:rPr>
                <w:rFonts w:hint="default"/>
              </w:rPr>
              <w:t>　</w:t>
            </w:r>
          </w:p>
        </w:tc>
        <w:tc>
          <w:tcPr>
            <w:tcW w:w="1275" w:type="dxa"/>
            <w:noWrap w:val="0"/>
            <w:vAlign w:val="center"/>
          </w:tcPr>
          <w:p w14:paraId="63ED2B0A">
            <w:pPr>
              <w:pStyle w:val="8"/>
              <w:bidi w:val="0"/>
              <w:rPr>
                <w:rFonts w:hint="default"/>
              </w:rPr>
            </w:pPr>
            <w:r>
              <w:rPr>
                <w:rFonts w:hint="default"/>
                <w:lang w:eastAsia="zh-CN"/>
              </w:rPr>
              <w:t>可选</w:t>
            </w:r>
          </w:p>
        </w:tc>
        <w:tc>
          <w:tcPr>
            <w:tcW w:w="851" w:type="dxa"/>
            <w:noWrap w:val="0"/>
            <w:vAlign w:val="center"/>
          </w:tcPr>
          <w:p w14:paraId="04AFA7F4">
            <w:pPr>
              <w:pStyle w:val="8"/>
              <w:bidi w:val="0"/>
              <w:rPr>
                <w:rFonts w:hint="default"/>
                <w:lang w:val="en-US" w:eastAsia="zh-CN"/>
              </w:rPr>
            </w:pPr>
            <w:r>
              <w:rPr>
                <w:rFonts w:hint="default"/>
                <w:lang w:val="en-US" w:eastAsia="zh-CN"/>
              </w:rPr>
              <w:t>4</w:t>
            </w:r>
          </w:p>
        </w:tc>
        <w:tc>
          <w:tcPr>
            <w:tcW w:w="711" w:type="dxa"/>
            <w:vMerge w:val="continue"/>
            <w:noWrap w:val="0"/>
            <w:vAlign w:val="center"/>
          </w:tcPr>
          <w:p w14:paraId="11DEB379">
            <w:pPr>
              <w:pStyle w:val="8"/>
              <w:bidi w:val="0"/>
              <w:rPr>
                <w:rFonts w:hint="default"/>
              </w:rPr>
            </w:pPr>
          </w:p>
        </w:tc>
        <w:tc>
          <w:tcPr>
            <w:tcW w:w="770" w:type="dxa"/>
            <w:noWrap w:val="0"/>
            <w:vAlign w:val="center"/>
          </w:tcPr>
          <w:p w14:paraId="5F75747C">
            <w:pPr>
              <w:pStyle w:val="8"/>
              <w:bidi w:val="0"/>
              <w:rPr>
                <w:rFonts w:hint="default"/>
              </w:rPr>
            </w:pPr>
            <w:r>
              <w:rPr>
                <w:rFonts w:hint="default"/>
              </w:rPr>
              <w:t>　</w:t>
            </w:r>
          </w:p>
        </w:tc>
      </w:tr>
      <w:tr w14:paraId="3447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noWrap w:val="0"/>
            <w:vAlign w:val="center"/>
          </w:tcPr>
          <w:p w14:paraId="3853AC5E">
            <w:pPr>
              <w:pStyle w:val="8"/>
              <w:bidi w:val="0"/>
              <w:rPr>
                <w:rFonts w:hint="default"/>
              </w:rPr>
            </w:pPr>
            <w:r>
              <w:rPr>
                <w:rFonts w:hint="default"/>
              </w:rPr>
              <w:t>3</w:t>
            </w:r>
          </w:p>
        </w:tc>
        <w:tc>
          <w:tcPr>
            <w:tcW w:w="787" w:type="dxa"/>
            <w:vMerge w:val="restart"/>
            <w:noWrap w:val="0"/>
            <w:vAlign w:val="center"/>
          </w:tcPr>
          <w:p w14:paraId="265BEF5F">
            <w:pPr>
              <w:pStyle w:val="8"/>
              <w:bidi w:val="0"/>
              <w:rPr>
                <w:rFonts w:hint="default"/>
              </w:rPr>
            </w:pPr>
            <w:r>
              <w:rPr>
                <w:rFonts w:hint="default"/>
              </w:rPr>
              <w:t>能源资源投入</w:t>
            </w:r>
          </w:p>
        </w:tc>
        <w:tc>
          <w:tcPr>
            <w:tcW w:w="920" w:type="dxa"/>
            <w:vMerge w:val="restart"/>
            <w:noWrap w:val="0"/>
            <w:vAlign w:val="center"/>
          </w:tcPr>
          <w:p w14:paraId="168CA38A">
            <w:pPr>
              <w:pStyle w:val="8"/>
              <w:bidi w:val="0"/>
              <w:rPr>
                <w:rFonts w:hint="default"/>
              </w:rPr>
            </w:pPr>
            <w:r>
              <w:rPr>
                <w:rFonts w:hint="default"/>
              </w:rPr>
              <w:t>能源</w:t>
            </w:r>
          </w:p>
          <w:p w14:paraId="68957E06">
            <w:pPr>
              <w:pStyle w:val="8"/>
              <w:bidi w:val="0"/>
              <w:rPr>
                <w:rFonts w:hint="default"/>
              </w:rPr>
            </w:pPr>
            <w:r>
              <w:rPr>
                <w:rFonts w:hint="default"/>
              </w:rPr>
              <w:t>投入</w:t>
            </w:r>
          </w:p>
        </w:tc>
        <w:tc>
          <w:tcPr>
            <w:tcW w:w="6392" w:type="dxa"/>
            <w:noWrap w:val="0"/>
            <w:vAlign w:val="center"/>
          </w:tcPr>
          <w:p w14:paraId="21EB8AFC">
            <w:pPr>
              <w:pStyle w:val="8"/>
              <w:bidi w:val="0"/>
              <w:jc w:val="left"/>
              <w:rPr>
                <w:rFonts w:hint="default"/>
              </w:rPr>
            </w:pPr>
            <w:r>
              <w:rPr>
                <w:rFonts w:hint="default"/>
                <w:lang w:val="en-US" w:eastAsia="zh-CN"/>
              </w:rPr>
              <w:t>工厂应优化用能结构，在保证安全、质量的前提下减少不可再生能源投入。</w:t>
            </w:r>
          </w:p>
        </w:tc>
        <w:tc>
          <w:tcPr>
            <w:tcW w:w="2407" w:type="dxa"/>
            <w:noWrap w:val="0"/>
            <w:vAlign w:val="center"/>
          </w:tcPr>
          <w:p w14:paraId="272102C9">
            <w:pPr>
              <w:pStyle w:val="8"/>
              <w:bidi w:val="0"/>
              <w:rPr>
                <w:rFonts w:hint="default"/>
              </w:rPr>
            </w:pPr>
            <w:r>
              <w:rPr>
                <w:rFonts w:hint="default"/>
              </w:rPr>
              <w:t>　</w:t>
            </w:r>
          </w:p>
        </w:tc>
        <w:tc>
          <w:tcPr>
            <w:tcW w:w="1275" w:type="dxa"/>
            <w:noWrap w:val="0"/>
            <w:vAlign w:val="center"/>
          </w:tcPr>
          <w:p w14:paraId="4B8D641E">
            <w:pPr>
              <w:pStyle w:val="8"/>
              <w:bidi w:val="0"/>
              <w:rPr>
                <w:rFonts w:hint="default"/>
              </w:rPr>
            </w:pPr>
            <w:r>
              <w:rPr>
                <w:rFonts w:hint="default"/>
                <w:lang w:eastAsia="zh-CN"/>
              </w:rPr>
              <w:t>必选</w:t>
            </w:r>
          </w:p>
        </w:tc>
        <w:tc>
          <w:tcPr>
            <w:tcW w:w="851" w:type="dxa"/>
            <w:noWrap w:val="0"/>
            <w:vAlign w:val="center"/>
          </w:tcPr>
          <w:p w14:paraId="796840E2">
            <w:pPr>
              <w:pStyle w:val="8"/>
              <w:bidi w:val="0"/>
              <w:rPr>
                <w:rFonts w:hint="default"/>
                <w:lang w:val="en-US" w:eastAsia="zh-CN"/>
              </w:rPr>
            </w:pPr>
            <w:r>
              <w:rPr>
                <w:rFonts w:hint="default"/>
                <w:lang w:val="en-US" w:eastAsia="zh-CN"/>
              </w:rPr>
              <w:t>10</w:t>
            </w:r>
          </w:p>
        </w:tc>
        <w:tc>
          <w:tcPr>
            <w:tcW w:w="711" w:type="dxa"/>
            <w:vMerge w:val="restart"/>
            <w:noWrap w:val="0"/>
            <w:vAlign w:val="center"/>
          </w:tcPr>
          <w:p w14:paraId="53753A60">
            <w:pPr>
              <w:pStyle w:val="8"/>
              <w:bidi w:val="0"/>
              <w:rPr>
                <w:rFonts w:hint="default"/>
              </w:rPr>
            </w:pPr>
            <w:r>
              <w:rPr>
                <w:rFonts w:hint="default"/>
              </w:rPr>
              <w:t>15%</w:t>
            </w:r>
          </w:p>
        </w:tc>
        <w:tc>
          <w:tcPr>
            <w:tcW w:w="770" w:type="dxa"/>
            <w:noWrap w:val="0"/>
            <w:vAlign w:val="center"/>
          </w:tcPr>
          <w:p w14:paraId="6DEB5085">
            <w:pPr>
              <w:pStyle w:val="8"/>
              <w:bidi w:val="0"/>
              <w:rPr>
                <w:rFonts w:hint="default"/>
              </w:rPr>
            </w:pPr>
            <w:r>
              <w:rPr>
                <w:rFonts w:hint="default"/>
              </w:rPr>
              <w:t>　</w:t>
            </w:r>
          </w:p>
        </w:tc>
      </w:tr>
      <w:tr w14:paraId="4554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EB67871">
            <w:pPr>
              <w:pStyle w:val="8"/>
              <w:bidi w:val="0"/>
              <w:rPr>
                <w:rFonts w:hint="default"/>
              </w:rPr>
            </w:pPr>
          </w:p>
        </w:tc>
        <w:tc>
          <w:tcPr>
            <w:tcW w:w="787" w:type="dxa"/>
            <w:vMerge w:val="continue"/>
            <w:noWrap w:val="0"/>
            <w:vAlign w:val="center"/>
          </w:tcPr>
          <w:p w14:paraId="14FADECD">
            <w:pPr>
              <w:pStyle w:val="8"/>
              <w:bidi w:val="0"/>
              <w:rPr>
                <w:rFonts w:hint="default"/>
              </w:rPr>
            </w:pPr>
          </w:p>
        </w:tc>
        <w:tc>
          <w:tcPr>
            <w:tcW w:w="920" w:type="dxa"/>
            <w:vMerge w:val="continue"/>
            <w:noWrap w:val="0"/>
            <w:vAlign w:val="center"/>
          </w:tcPr>
          <w:p w14:paraId="28714F2A">
            <w:pPr>
              <w:pStyle w:val="8"/>
              <w:bidi w:val="0"/>
              <w:rPr>
                <w:rFonts w:hint="default"/>
              </w:rPr>
            </w:pPr>
          </w:p>
        </w:tc>
        <w:tc>
          <w:tcPr>
            <w:tcW w:w="6392" w:type="dxa"/>
            <w:noWrap w:val="0"/>
            <w:vAlign w:val="center"/>
          </w:tcPr>
          <w:p w14:paraId="1557FA20">
            <w:pPr>
              <w:pStyle w:val="8"/>
              <w:bidi w:val="0"/>
              <w:jc w:val="left"/>
              <w:rPr>
                <w:rFonts w:hint="default"/>
              </w:rPr>
            </w:pPr>
            <w:r>
              <w:rPr>
                <w:rFonts w:hint="default"/>
              </w:rPr>
              <w:t>建有能源管理中心。</w:t>
            </w:r>
          </w:p>
        </w:tc>
        <w:tc>
          <w:tcPr>
            <w:tcW w:w="2407" w:type="dxa"/>
            <w:noWrap w:val="0"/>
            <w:vAlign w:val="center"/>
          </w:tcPr>
          <w:p w14:paraId="093E0724">
            <w:pPr>
              <w:pStyle w:val="8"/>
              <w:bidi w:val="0"/>
              <w:rPr>
                <w:rFonts w:hint="default"/>
              </w:rPr>
            </w:pPr>
            <w:r>
              <w:rPr>
                <w:rFonts w:hint="default"/>
              </w:rPr>
              <w:t>　</w:t>
            </w:r>
          </w:p>
        </w:tc>
        <w:tc>
          <w:tcPr>
            <w:tcW w:w="1275" w:type="dxa"/>
            <w:vMerge w:val="restart"/>
            <w:noWrap w:val="0"/>
            <w:vAlign w:val="center"/>
          </w:tcPr>
          <w:p w14:paraId="4275CEB4">
            <w:pPr>
              <w:pStyle w:val="8"/>
              <w:bidi w:val="0"/>
              <w:rPr>
                <w:rFonts w:hint="default"/>
              </w:rPr>
            </w:pPr>
            <w:r>
              <w:rPr>
                <w:rFonts w:hint="default"/>
                <w:lang w:eastAsia="zh-CN"/>
              </w:rPr>
              <w:t>可选</w:t>
            </w:r>
          </w:p>
        </w:tc>
        <w:tc>
          <w:tcPr>
            <w:tcW w:w="851" w:type="dxa"/>
            <w:noWrap w:val="0"/>
            <w:vAlign w:val="center"/>
          </w:tcPr>
          <w:p w14:paraId="3EC63EE5">
            <w:pPr>
              <w:pStyle w:val="8"/>
              <w:bidi w:val="0"/>
              <w:rPr>
                <w:rFonts w:hint="default"/>
                <w:lang w:val="en-US" w:eastAsia="zh-CN"/>
              </w:rPr>
            </w:pPr>
            <w:r>
              <w:rPr>
                <w:rFonts w:hint="default"/>
                <w:lang w:val="en-US" w:eastAsia="zh-CN"/>
              </w:rPr>
              <w:t>8</w:t>
            </w:r>
          </w:p>
        </w:tc>
        <w:tc>
          <w:tcPr>
            <w:tcW w:w="711" w:type="dxa"/>
            <w:vMerge w:val="continue"/>
            <w:noWrap w:val="0"/>
            <w:vAlign w:val="center"/>
          </w:tcPr>
          <w:p w14:paraId="70455DD7">
            <w:pPr>
              <w:pStyle w:val="8"/>
              <w:bidi w:val="0"/>
              <w:rPr>
                <w:rFonts w:hint="default"/>
              </w:rPr>
            </w:pPr>
          </w:p>
        </w:tc>
        <w:tc>
          <w:tcPr>
            <w:tcW w:w="770" w:type="dxa"/>
            <w:noWrap w:val="0"/>
            <w:vAlign w:val="center"/>
          </w:tcPr>
          <w:p w14:paraId="04BC3B2A">
            <w:pPr>
              <w:pStyle w:val="8"/>
              <w:bidi w:val="0"/>
              <w:rPr>
                <w:rFonts w:hint="default"/>
              </w:rPr>
            </w:pPr>
            <w:r>
              <w:rPr>
                <w:rFonts w:hint="default"/>
              </w:rPr>
              <w:t>　</w:t>
            </w:r>
          </w:p>
        </w:tc>
      </w:tr>
      <w:tr w14:paraId="7D7C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52712698">
            <w:pPr>
              <w:pStyle w:val="8"/>
              <w:bidi w:val="0"/>
              <w:rPr>
                <w:rFonts w:hint="default"/>
              </w:rPr>
            </w:pPr>
          </w:p>
        </w:tc>
        <w:tc>
          <w:tcPr>
            <w:tcW w:w="787" w:type="dxa"/>
            <w:vMerge w:val="continue"/>
            <w:noWrap w:val="0"/>
            <w:vAlign w:val="center"/>
          </w:tcPr>
          <w:p w14:paraId="32F0AB78">
            <w:pPr>
              <w:pStyle w:val="8"/>
              <w:bidi w:val="0"/>
              <w:rPr>
                <w:rFonts w:hint="default"/>
              </w:rPr>
            </w:pPr>
          </w:p>
        </w:tc>
        <w:tc>
          <w:tcPr>
            <w:tcW w:w="920" w:type="dxa"/>
            <w:vMerge w:val="continue"/>
            <w:noWrap w:val="0"/>
            <w:vAlign w:val="center"/>
          </w:tcPr>
          <w:p w14:paraId="5DEBD55E">
            <w:pPr>
              <w:pStyle w:val="8"/>
              <w:bidi w:val="0"/>
              <w:rPr>
                <w:rFonts w:hint="default"/>
              </w:rPr>
            </w:pPr>
          </w:p>
        </w:tc>
        <w:tc>
          <w:tcPr>
            <w:tcW w:w="6392" w:type="dxa"/>
            <w:noWrap w:val="0"/>
            <w:vAlign w:val="center"/>
          </w:tcPr>
          <w:p w14:paraId="5A1E90AB">
            <w:pPr>
              <w:pStyle w:val="8"/>
              <w:bidi w:val="0"/>
              <w:jc w:val="left"/>
              <w:rPr>
                <w:rFonts w:hint="default"/>
              </w:rPr>
            </w:pPr>
            <w:r>
              <w:rPr>
                <w:rFonts w:hint="default"/>
              </w:rPr>
              <w:t>建有厂区光伏电站、智能微电网。</w:t>
            </w:r>
          </w:p>
        </w:tc>
        <w:tc>
          <w:tcPr>
            <w:tcW w:w="2407" w:type="dxa"/>
            <w:noWrap w:val="0"/>
            <w:vAlign w:val="center"/>
          </w:tcPr>
          <w:p w14:paraId="2AAEFA35">
            <w:pPr>
              <w:pStyle w:val="8"/>
              <w:bidi w:val="0"/>
              <w:rPr>
                <w:rFonts w:hint="default"/>
              </w:rPr>
            </w:pPr>
            <w:r>
              <w:rPr>
                <w:rFonts w:hint="default"/>
              </w:rPr>
              <w:t>　</w:t>
            </w:r>
          </w:p>
        </w:tc>
        <w:tc>
          <w:tcPr>
            <w:tcW w:w="1275" w:type="dxa"/>
            <w:vMerge w:val="continue"/>
            <w:noWrap w:val="0"/>
            <w:vAlign w:val="center"/>
          </w:tcPr>
          <w:p w14:paraId="60AA1386">
            <w:pPr>
              <w:pStyle w:val="8"/>
              <w:bidi w:val="0"/>
              <w:rPr>
                <w:rFonts w:hint="default"/>
              </w:rPr>
            </w:pPr>
          </w:p>
        </w:tc>
        <w:tc>
          <w:tcPr>
            <w:tcW w:w="851" w:type="dxa"/>
            <w:noWrap w:val="0"/>
            <w:vAlign w:val="center"/>
          </w:tcPr>
          <w:p w14:paraId="4AF855A4">
            <w:pPr>
              <w:pStyle w:val="8"/>
              <w:bidi w:val="0"/>
              <w:rPr>
                <w:rFonts w:hint="default"/>
                <w:lang w:val="en-US" w:eastAsia="zh-CN"/>
              </w:rPr>
            </w:pPr>
            <w:r>
              <w:rPr>
                <w:rFonts w:hint="default"/>
                <w:lang w:val="en-US" w:eastAsia="zh-CN"/>
              </w:rPr>
              <w:t>5</w:t>
            </w:r>
          </w:p>
        </w:tc>
        <w:tc>
          <w:tcPr>
            <w:tcW w:w="711" w:type="dxa"/>
            <w:vMerge w:val="continue"/>
            <w:noWrap w:val="0"/>
            <w:vAlign w:val="center"/>
          </w:tcPr>
          <w:p w14:paraId="18003003">
            <w:pPr>
              <w:pStyle w:val="8"/>
              <w:bidi w:val="0"/>
              <w:rPr>
                <w:rFonts w:hint="default"/>
              </w:rPr>
            </w:pPr>
          </w:p>
        </w:tc>
        <w:tc>
          <w:tcPr>
            <w:tcW w:w="770" w:type="dxa"/>
            <w:noWrap w:val="0"/>
            <w:vAlign w:val="center"/>
          </w:tcPr>
          <w:p w14:paraId="648200DE">
            <w:pPr>
              <w:pStyle w:val="8"/>
              <w:bidi w:val="0"/>
              <w:rPr>
                <w:rFonts w:hint="default"/>
              </w:rPr>
            </w:pPr>
            <w:r>
              <w:rPr>
                <w:rFonts w:hint="default"/>
              </w:rPr>
              <w:t>　</w:t>
            </w:r>
          </w:p>
        </w:tc>
      </w:tr>
      <w:tr w14:paraId="0878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74D9738">
            <w:pPr>
              <w:pStyle w:val="8"/>
              <w:bidi w:val="0"/>
              <w:rPr>
                <w:rFonts w:hint="default"/>
              </w:rPr>
            </w:pPr>
          </w:p>
        </w:tc>
        <w:tc>
          <w:tcPr>
            <w:tcW w:w="787" w:type="dxa"/>
            <w:vMerge w:val="continue"/>
            <w:noWrap w:val="0"/>
            <w:vAlign w:val="center"/>
          </w:tcPr>
          <w:p w14:paraId="73F2FAA6">
            <w:pPr>
              <w:pStyle w:val="8"/>
              <w:bidi w:val="0"/>
              <w:rPr>
                <w:rFonts w:hint="default"/>
              </w:rPr>
            </w:pPr>
          </w:p>
        </w:tc>
        <w:tc>
          <w:tcPr>
            <w:tcW w:w="920" w:type="dxa"/>
            <w:vMerge w:val="continue"/>
            <w:noWrap w:val="0"/>
            <w:vAlign w:val="center"/>
          </w:tcPr>
          <w:p w14:paraId="667F4D25">
            <w:pPr>
              <w:pStyle w:val="8"/>
              <w:bidi w:val="0"/>
              <w:rPr>
                <w:rFonts w:hint="default"/>
              </w:rPr>
            </w:pPr>
          </w:p>
        </w:tc>
        <w:tc>
          <w:tcPr>
            <w:tcW w:w="6392" w:type="dxa"/>
            <w:noWrap w:val="0"/>
            <w:vAlign w:val="center"/>
          </w:tcPr>
          <w:p w14:paraId="63BBFFF9">
            <w:pPr>
              <w:pStyle w:val="8"/>
              <w:bidi w:val="0"/>
              <w:jc w:val="left"/>
              <w:rPr>
                <w:rFonts w:hint="default"/>
              </w:rPr>
            </w:pPr>
            <w:r>
              <w:rPr>
                <w:rFonts w:hint="default"/>
              </w:rPr>
              <w:t>使用了低碳清洁的新能源。</w:t>
            </w:r>
          </w:p>
        </w:tc>
        <w:tc>
          <w:tcPr>
            <w:tcW w:w="2407" w:type="dxa"/>
            <w:noWrap w:val="0"/>
            <w:vAlign w:val="center"/>
          </w:tcPr>
          <w:p w14:paraId="47631448">
            <w:pPr>
              <w:pStyle w:val="8"/>
              <w:bidi w:val="0"/>
              <w:rPr>
                <w:rFonts w:hint="default"/>
              </w:rPr>
            </w:pPr>
            <w:r>
              <w:rPr>
                <w:rFonts w:hint="default"/>
              </w:rPr>
              <w:t>　</w:t>
            </w:r>
          </w:p>
        </w:tc>
        <w:tc>
          <w:tcPr>
            <w:tcW w:w="1275" w:type="dxa"/>
            <w:vMerge w:val="continue"/>
            <w:noWrap w:val="0"/>
            <w:vAlign w:val="center"/>
          </w:tcPr>
          <w:p w14:paraId="1634C5C0">
            <w:pPr>
              <w:pStyle w:val="8"/>
              <w:bidi w:val="0"/>
              <w:rPr>
                <w:rFonts w:hint="default"/>
              </w:rPr>
            </w:pPr>
          </w:p>
        </w:tc>
        <w:tc>
          <w:tcPr>
            <w:tcW w:w="851" w:type="dxa"/>
            <w:noWrap w:val="0"/>
            <w:vAlign w:val="center"/>
          </w:tcPr>
          <w:p w14:paraId="3DBF310E">
            <w:pPr>
              <w:pStyle w:val="8"/>
              <w:bidi w:val="0"/>
              <w:rPr>
                <w:rFonts w:hint="default"/>
                <w:lang w:val="en-US" w:eastAsia="zh-CN"/>
              </w:rPr>
            </w:pPr>
            <w:r>
              <w:rPr>
                <w:rFonts w:hint="default"/>
                <w:lang w:val="en-US" w:eastAsia="zh-CN"/>
              </w:rPr>
              <w:t>3</w:t>
            </w:r>
          </w:p>
        </w:tc>
        <w:tc>
          <w:tcPr>
            <w:tcW w:w="711" w:type="dxa"/>
            <w:vMerge w:val="continue"/>
            <w:noWrap w:val="0"/>
            <w:vAlign w:val="center"/>
          </w:tcPr>
          <w:p w14:paraId="4544A29B">
            <w:pPr>
              <w:pStyle w:val="8"/>
              <w:bidi w:val="0"/>
              <w:rPr>
                <w:rFonts w:hint="default"/>
              </w:rPr>
            </w:pPr>
          </w:p>
        </w:tc>
        <w:tc>
          <w:tcPr>
            <w:tcW w:w="770" w:type="dxa"/>
            <w:noWrap w:val="0"/>
            <w:vAlign w:val="center"/>
          </w:tcPr>
          <w:p w14:paraId="40AE2790">
            <w:pPr>
              <w:pStyle w:val="8"/>
              <w:bidi w:val="0"/>
              <w:rPr>
                <w:rFonts w:hint="default"/>
              </w:rPr>
            </w:pPr>
            <w:r>
              <w:rPr>
                <w:rFonts w:hint="default"/>
              </w:rPr>
              <w:t>　</w:t>
            </w:r>
          </w:p>
        </w:tc>
      </w:tr>
      <w:tr w14:paraId="5D5B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58F6228B">
            <w:pPr>
              <w:pStyle w:val="8"/>
              <w:bidi w:val="0"/>
              <w:rPr>
                <w:rFonts w:hint="default"/>
              </w:rPr>
            </w:pPr>
          </w:p>
        </w:tc>
        <w:tc>
          <w:tcPr>
            <w:tcW w:w="787" w:type="dxa"/>
            <w:vMerge w:val="continue"/>
            <w:noWrap w:val="0"/>
            <w:vAlign w:val="center"/>
          </w:tcPr>
          <w:p w14:paraId="38AD8AF2">
            <w:pPr>
              <w:pStyle w:val="8"/>
              <w:bidi w:val="0"/>
              <w:rPr>
                <w:rFonts w:hint="default"/>
              </w:rPr>
            </w:pPr>
          </w:p>
        </w:tc>
        <w:tc>
          <w:tcPr>
            <w:tcW w:w="920" w:type="dxa"/>
            <w:vMerge w:val="continue"/>
            <w:noWrap w:val="0"/>
            <w:vAlign w:val="center"/>
          </w:tcPr>
          <w:p w14:paraId="1640DAE3">
            <w:pPr>
              <w:pStyle w:val="8"/>
              <w:bidi w:val="0"/>
              <w:rPr>
                <w:rFonts w:hint="default"/>
              </w:rPr>
            </w:pPr>
          </w:p>
        </w:tc>
        <w:tc>
          <w:tcPr>
            <w:tcW w:w="6392" w:type="dxa"/>
            <w:noWrap w:val="0"/>
            <w:vAlign w:val="center"/>
          </w:tcPr>
          <w:p w14:paraId="2BC58F3C">
            <w:pPr>
              <w:pStyle w:val="8"/>
              <w:bidi w:val="0"/>
              <w:jc w:val="left"/>
              <w:rPr>
                <w:rFonts w:hint="default"/>
              </w:rPr>
            </w:pPr>
            <w:r>
              <w:rPr>
                <w:rFonts w:hint="default"/>
              </w:rPr>
              <w:t>使用可再生能源代替不可再生能源。</w:t>
            </w:r>
          </w:p>
        </w:tc>
        <w:tc>
          <w:tcPr>
            <w:tcW w:w="2407" w:type="dxa"/>
            <w:noWrap w:val="0"/>
            <w:vAlign w:val="center"/>
          </w:tcPr>
          <w:p w14:paraId="3AE27AC1">
            <w:pPr>
              <w:pStyle w:val="8"/>
              <w:bidi w:val="0"/>
              <w:rPr>
                <w:rFonts w:hint="default"/>
              </w:rPr>
            </w:pPr>
            <w:r>
              <w:rPr>
                <w:rFonts w:hint="default"/>
              </w:rPr>
              <w:t>　</w:t>
            </w:r>
          </w:p>
        </w:tc>
        <w:tc>
          <w:tcPr>
            <w:tcW w:w="1275" w:type="dxa"/>
            <w:vMerge w:val="continue"/>
            <w:noWrap w:val="0"/>
            <w:vAlign w:val="center"/>
          </w:tcPr>
          <w:p w14:paraId="64F26209">
            <w:pPr>
              <w:pStyle w:val="8"/>
              <w:bidi w:val="0"/>
              <w:rPr>
                <w:rFonts w:hint="default"/>
              </w:rPr>
            </w:pPr>
          </w:p>
        </w:tc>
        <w:tc>
          <w:tcPr>
            <w:tcW w:w="851" w:type="dxa"/>
            <w:noWrap w:val="0"/>
            <w:vAlign w:val="center"/>
          </w:tcPr>
          <w:p w14:paraId="3FF74E2D">
            <w:pPr>
              <w:pStyle w:val="8"/>
              <w:bidi w:val="0"/>
              <w:rPr>
                <w:rFonts w:hint="default"/>
                <w:lang w:val="en-US" w:eastAsia="zh-CN"/>
              </w:rPr>
            </w:pPr>
            <w:r>
              <w:rPr>
                <w:rFonts w:hint="default"/>
                <w:lang w:val="en-US" w:eastAsia="zh-CN"/>
              </w:rPr>
              <w:t>3</w:t>
            </w:r>
          </w:p>
        </w:tc>
        <w:tc>
          <w:tcPr>
            <w:tcW w:w="711" w:type="dxa"/>
            <w:vMerge w:val="continue"/>
            <w:noWrap w:val="0"/>
            <w:vAlign w:val="center"/>
          </w:tcPr>
          <w:p w14:paraId="4B15165F">
            <w:pPr>
              <w:pStyle w:val="8"/>
              <w:bidi w:val="0"/>
              <w:rPr>
                <w:rFonts w:hint="default"/>
              </w:rPr>
            </w:pPr>
          </w:p>
        </w:tc>
        <w:tc>
          <w:tcPr>
            <w:tcW w:w="770" w:type="dxa"/>
            <w:noWrap w:val="0"/>
            <w:vAlign w:val="center"/>
          </w:tcPr>
          <w:p w14:paraId="4E3415EF">
            <w:pPr>
              <w:pStyle w:val="8"/>
              <w:bidi w:val="0"/>
              <w:rPr>
                <w:rFonts w:hint="default"/>
              </w:rPr>
            </w:pPr>
            <w:r>
              <w:rPr>
                <w:rFonts w:hint="default"/>
              </w:rPr>
              <w:t>　</w:t>
            </w:r>
          </w:p>
        </w:tc>
      </w:tr>
      <w:tr w14:paraId="075A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26C8B3F">
            <w:pPr>
              <w:pStyle w:val="8"/>
              <w:bidi w:val="0"/>
              <w:rPr>
                <w:rFonts w:hint="default"/>
              </w:rPr>
            </w:pPr>
          </w:p>
        </w:tc>
        <w:tc>
          <w:tcPr>
            <w:tcW w:w="787" w:type="dxa"/>
            <w:vMerge w:val="continue"/>
            <w:noWrap w:val="0"/>
            <w:vAlign w:val="center"/>
          </w:tcPr>
          <w:p w14:paraId="18787D74">
            <w:pPr>
              <w:pStyle w:val="8"/>
              <w:bidi w:val="0"/>
              <w:rPr>
                <w:rFonts w:hint="default"/>
              </w:rPr>
            </w:pPr>
          </w:p>
        </w:tc>
        <w:tc>
          <w:tcPr>
            <w:tcW w:w="920" w:type="dxa"/>
            <w:vMerge w:val="continue"/>
            <w:noWrap w:val="0"/>
            <w:vAlign w:val="center"/>
          </w:tcPr>
          <w:p w14:paraId="107FBECC">
            <w:pPr>
              <w:pStyle w:val="8"/>
              <w:bidi w:val="0"/>
              <w:rPr>
                <w:rFonts w:hint="default"/>
              </w:rPr>
            </w:pPr>
          </w:p>
        </w:tc>
        <w:tc>
          <w:tcPr>
            <w:tcW w:w="6392" w:type="dxa"/>
            <w:noWrap w:val="0"/>
            <w:vAlign w:val="center"/>
          </w:tcPr>
          <w:p w14:paraId="4217FCAC">
            <w:pPr>
              <w:pStyle w:val="8"/>
              <w:bidi w:val="0"/>
              <w:jc w:val="left"/>
              <w:rPr>
                <w:rFonts w:hint="default"/>
              </w:rPr>
            </w:pPr>
            <w:r>
              <w:rPr>
                <w:rFonts w:hint="default"/>
              </w:rPr>
              <w:t>充分利用余热余压。</w:t>
            </w:r>
          </w:p>
        </w:tc>
        <w:tc>
          <w:tcPr>
            <w:tcW w:w="2407" w:type="dxa"/>
            <w:noWrap w:val="0"/>
            <w:vAlign w:val="center"/>
          </w:tcPr>
          <w:p w14:paraId="15155784">
            <w:pPr>
              <w:pStyle w:val="8"/>
              <w:bidi w:val="0"/>
              <w:rPr>
                <w:rFonts w:hint="default"/>
              </w:rPr>
            </w:pPr>
            <w:r>
              <w:rPr>
                <w:rFonts w:hint="default"/>
              </w:rPr>
              <w:t>　</w:t>
            </w:r>
          </w:p>
        </w:tc>
        <w:tc>
          <w:tcPr>
            <w:tcW w:w="1275" w:type="dxa"/>
            <w:vMerge w:val="continue"/>
            <w:noWrap w:val="0"/>
            <w:vAlign w:val="center"/>
          </w:tcPr>
          <w:p w14:paraId="2B80A5A6">
            <w:pPr>
              <w:pStyle w:val="8"/>
              <w:bidi w:val="0"/>
              <w:rPr>
                <w:rFonts w:hint="default"/>
              </w:rPr>
            </w:pPr>
          </w:p>
        </w:tc>
        <w:tc>
          <w:tcPr>
            <w:tcW w:w="851" w:type="dxa"/>
            <w:noWrap w:val="0"/>
            <w:vAlign w:val="center"/>
          </w:tcPr>
          <w:p w14:paraId="54308219">
            <w:pPr>
              <w:pStyle w:val="8"/>
              <w:bidi w:val="0"/>
              <w:rPr>
                <w:rFonts w:hint="default"/>
                <w:lang w:val="en-US" w:eastAsia="zh-CN"/>
              </w:rPr>
            </w:pPr>
            <w:r>
              <w:rPr>
                <w:rFonts w:hint="default"/>
                <w:lang w:val="en-US" w:eastAsia="zh-CN"/>
              </w:rPr>
              <w:t>3</w:t>
            </w:r>
          </w:p>
        </w:tc>
        <w:tc>
          <w:tcPr>
            <w:tcW w:w="711" w:type="dxa"/>
            <w:vMerge w:val="continue"/>
            <w:noWrap w:val="0"/>
            <w:vAlign w:val="center"/>
          </w:tcPr>
          <w:p w14:paraId="21CE5B00">
            <w:pPr>
              <w:pStyle w:val="8"/>
              <w:bidi w:val="0"/>
              <w:rPr>
                <w:rFonts w:hint="default"/>
              </w:rPr>
            </w:pPr>
          </w:p>
        </w:tc>
        <w:tc>
          <w:tcPr>
            <w:tcW w:w="770" w:type="dxa"/>
            <w:noWrap w:val="0"/>
            <w:vAlign w:val="center"/>
          </w:tcPr>
          <w:p w14:paraId="4C3B9BD7">
            <w:pPr>
              <w:pStyle w:val="8"/>
              <w:bidi w:val="0"/>
              <w:rPr>
                <w:rFonts w:hint="default"/>
              </w:rPr>
            </w:pPr>
            <w:r>
              <w:rPr>
                <w:rFonts w:hint="default"/>
              </w:rPr>
              <w:t>　</w:t>
            </w:r>
          </w:p>
        </w:tc>
      </w:tr>
      <w:tr w14:paraId="3B06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5949785">
            <w:pPr>
              <w:pStyle w:val="8"/>
              <w:bidi w:val="0"/>
              <w:rPr>
                <w:rFonts w:hint="default"/>
              </w:rPr>
            </w:pPr>
          </w:p>
        </w:tc>
        <w:tc>
          <w:tcPr>
            <w:tcW w:w="787" w:type="dxa"/>
            <w:vMerge w:val="continue"/>
            <w:noWrap w:val="0"/>
            <w:vAlign w:val="center"/>
          </w:tcPr>
          <w:p w14:paraId="7036384C">
            <w:pPr>
              <w:pStyle w:val="8"/>
              <w:bidi w:val="0"/>
              <w:rPr>
                <w:rFonts w:hint="default"/>
              </w:rPr>
            </w:pPr>
          </w:p>
        </w:tc>
        <w:tc>
          <w:tcPr>
            <w:tcW w:w="920" w:type="dxa"/>
            <w:vMerge w:val="restart"/>
            <w:noWrap w:val="0"/>
            <w:vAlign w:val="center"/>
          </w:tcPr>
          <w:p w14:paraId="7EC5FF7F">
            <w:pPr>
              <w:pStyle w:val="8"/>
              <w:bidi w:val="0"/>
              <w:rPr>
                <w:rFonts w:hint="default"/>
              </w:rPr>
            </w:pPr>
            <w:r>
              <w:rPr>
                <w:rFonts w:hint="default"/>
              </w:rPr>
              <w:t>资源</w:t>
            </w:r>
          </w:p>
          <w:p w14:paraId="36469A65">
            <w:pPr>
              <w:pStyle w:val="8"/>
              <w:bidi w:val="0"/>
              <w:rPr>
                <w:rFonts w:hint="default"/>
              </w:rPr>
            </w:pPr>
            <w:r>
              <w:rPr>
                <w:rFonts w:hint="default"/>
              </w:rPr>
              <w:t>投入</w:t>
            </w:r>
          </w:p>
        </w:tc>
        <w:tc>
          <w:tcPr>
            <w:tcW w:w="6392" w:type="dxa"/>
            <w:noWrap w:val="0"/>
            <w:vAlign w:val="center"/>
          </w:tcPr>
          <w:p w14:paraId="450797EC">
            <w:pPr>
              <w:pStyle w:val="8"/>
              <w:bidi w:val="0"/>
              <w:jc w:val="left"/>
              <w:rPr>
                <w:rFonts w:hint="default"/>
              </w:rPr>
            </w:pPr>
            <w:r>
              <w:rPr>
                <w:rFonts w:hint="default"/>
              </w:rPr>
              <w:t>工厂应按照GB/T 7119的要求对其开展节水评价工作，且满足GB/T 18916（所有部分）中对应本行业的取水定额要求。</w:t>
            </w:r>
          </w:p>
        </w:tc>
        <w:tc>
          <w:tcPr>
            <w:tcW w:w="2407" w:type="dxa"/>
            <w:noWrap w:val="0"/>
            <w:vAlign w:val="center"/>
          </w:tcPr>
          <w:p w14:paraId="23F70E5A">
            <w:pPr>
              <w:pStyle w:val="8"/>
              <w:bidi w:val="0"/>
              <w:rPr>
                <w:rFonts w:hint="default"/>
              </w:rPr>
            </w:pPr>
            <w:r>
              <w:rPr>
                <w:rFonts w:hint="default"/>
              </w:rPr>
              <w:t>　</w:t>
            </w:r>
          </w:p>
        </w:tc>
        <w:tc>
          <w:tcPr>
            <w:tcW w:w="1275" w:type="dxa"/>
            <w:vMerge w:val="restart"/>
            <w:noWrap w:val="0"/>
            <w:vAlign w:val="center"/>
          </w:tcPr>
          <w:p w14:paraId="1E614C4E">
            <w:pPr>
              <w:pStyle w:val="8"/>
              <w:bidi w:val="0"/>
              <w:rPr>
                <w:rFonts w:hint="default"/>
              </w:rPr>
            </w:pPr>
            <w:r>
              <w:rPr>
                <w:rFonts w:hint="default"/>
                <w:lang w:eastAsia="zh-CN"/>
              </w:rPr>
              <w:t>必选</w:t>
            </w:r>
          </w:p>
        </w:tc>
        <w:tc>
          <w:tcPr>
            <w:tcW w:w="851" w:type="dxa"/>
            <w:noWrap w:val="0"/>
            <w:vAlign w:val="center"/>
          </w:tcPr>
          <w:p w14:paraId="29403535">
            <w:pPr>
              <w:pStyle w:val="8"/>
              <w:bidi w:val="0"/>
              <w:rPr>
                <w:rFonts w:hint="default"/>
                <w:lang w:val="en-US" w:eastAsia="zh-CN"/>
              </w:rPr>
            </w:pPr>
            <w:r>
              <w:rPr>
                <w:rFonts w:hint="default"/>
                <w:lang w:val="en-US" w:eastAsia="zh-CN"/>
              </w:rPr>
              <w:t>10</w:t>
            </w:r>
          </w:p>
        </w:tc>
        <w:tc>
          <w:tcPr>
            <w:tcW w:w="711" w:type="dxa"/>
            <w:vMerge w:val="continue"/>
            <w:noWrap w:val="0"/>
            <w:vAlign w:val="center"/>
          </w:tcPr>
          <w:p w14:paraId="39718EBB">
            <w:pPr>
              <w:pStyle w:val="8"/>
              <w:bidi w:val="0"/>
              <w:rPr>
                <w:rFonts w:hint="default"/>
              </w:rPr>
            </w:pPr>
          </w:p>
        </w:tc>
        <w:tc>
          <w:tcPr>
            <w:tcW w:w="770" w:type="dxa"/>
            <w:noWrap w:val="0"/>
            <w:vAlign w:val="center"/>
          </w:tcPr>
          <w:p w14:paraId="4D8E00A6">
            <w:pPr>
              <w:pStyle w:val="8"/>
              <w:bidi w:val="0"/>
              <w:rPr>
                <w:rFonts w:hint="default"/>
              </w:rPr>
            </w:pPr>
            <w:r>
              <w:rPr>
                <w:rFonts w:hint="default"/>
              </w:rPr>
              <w:t>　</w:t>
            </w:r>
          </w:p>
        </w:tc>
      </w:tr>
      <w:tr w14:paraId="5861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5D99FC7D">
            <w:pPr>
              <w:pStyle w:val="8"/>
              <w:bidi w:val="0"/>
              <w:rPr>
                <w:rFonts w:hint="default"/>
              </w:rPr>
            </w:pPr>
          </w:p>
        </w:tc>
        <w:tc>
          <w:tcPr>
            <w:tcW w:w="787" w:type="dxa"/>
            <w:vMerge w:val="continue"/>
            <w:noWrap w:val="0"/>
            <w:vAlign w:val="center"/>
          </w:tcPr>
          <w:p w14:paraId="4EF822C2">
            <w:pPr>
              <w:pStyle w:val="8"/>
              <w:bidi w:val="0"/>
              <w:rPr>
                <w:rFonts w:hint="default"/>
              </w:rPr>
            </w:pPr>
          </w:p>
        </w:tc>
        <w:tc>
          <w:tcPr>
            <w:tcW w:w="920" w:type="dxa"/>
            <w:vMerge w:val="continue"/>
            <w:noWrap w:val="0"/>
            <w:vAlign w:val="center"/>
          </w:tcPr>
          <w:p w14:paraId="14CD6873">
            <w:pPr>
              <w:pStyle w:val="8"/>
              <w:bidi w:val="0"/>
              <w:rPr>
                <w:rFonts w:hint="default"/>
              </w:rPr>
            </w:pPr>
          </w:p>
        </w:tc>
        <w:tc>
          <w:tcPr>
            <w:tcW w:w="6392" w:type="dxa"/>
            <w:noWrap w:val="0"/>
            <w:vAlign w:val="center"/>
          </w:tcPr>
          <w:p w14:paraId="1839E21B">
            <w:pPr>
              <w:pStyle w:val="8"/>
              <w:bidi w:val="0"/>
              <w:jc w:val="left"/>
              <w:rPr>
                <w:rFonts w:hint="default"/>
              </w:rPr>
            </w:pPr>
            <w:r>
              <w:rPr>
                <w:rFonts w:hint="default"/>
              </w:rPr>
              <w:t>工厂应减少材料、尤其是有害物质的使用</w:t>
            </w:r>
            <w:r>
              <w:rPr>
                <w:rFonts w:hint="default"/>
                <w:lang w:eastAsia="zh-CN"/>
              </w:rPr>
              <w:t>，</w:t>
            </w:r>
            <w:r>
              <w:rPr>
                <w:rFonts w:hint="default"/>
              </w:rPr>
              <w:t>评估有害物质及化学品减量使用或替代的可行性</w:t>
            </w:r>
            <w:r>
              <w:rPr>
                <w:rFonts w:hint="default"/>
                <w:lang w:eastAsia="zh-CN"/>
              </w:rPr>
              <w:t>。</w:t>
            </w:r>
          </w:p>
        </w:tc>
        <w:tc>
          <w:tcPr>
            <w:tcW w:w="2407" w:type="dxa"/>
            <w:noWrap w:val="0"/>
            <w:vAlign w:val="center"/>
          </w:tcPr>
          <w:p w14:paraId="03C79D75">
            <w:pPr>
              <w:pStyle w:val="8"/>
              <w:bidi w:val="0"/>
              <w:rPr>
                <w:rFonts w:hint="default"/>
              </w:rPr>
            </w:pPr>
            <w:r>
              <w:rPr>
                <w:rFonts w:hint="default"/>
              </w:rPr>
              <w:t>　</w:t>
            </w:r>
          </w:p>
        </w:tc>
        <w:tc>
          <w:tcPr>
            <w:tcW w:w="1275" w:type="dxa"/>
            <w:vMerge w:val="continue"/>
            <w:noWrap w:val="0"/>
            <w:vAlign w:val="center"/>
          </w:tcPr>
          <w:p w14:paraId="0DE286D0">
            <w:pPr>
              <w:pStyle w:val="8"/>
              <w:bidi w:val="0"/>
              <w:rPr>
                <w:rFonts w:hint="default"/>
              </w:rPr>
            </w:pPr>
          </w:p>
        </w:tc>
        <w:tc>
          <w:tcPr>
            <w:tcW w:w="851" w:type="dxa"/>
            <w:noWrap w:val="0"/>
            <w:vAlign w:val="center"/>
          </w:tcPr>
          <w:p w14:paraId="4E88A935">
            <w:pPr>
              <w:pStyle w:val="8"/>
              <w:bidi w:val="0"/>
              <w:rPr>
                <w:rFonts w:hint="default"/>
                <w:lang w:val="en-US" w:eastAsia="zh-CN"/>
              </w:rPr>
            </w:pPr>
            <w:r>
              <w:rPr>
                <w:rFonts w:hint="default"/>
                <w:lang w:val="en-US" w:eastAsia="zh-CN"/>
              </w:rPr>
              <w:t>10</w:t>
            </w:r>
          </w:p>
        </w:tc>
        <w:tc>
          <w:tcPr>
            <w:tcW w:w="711" w:type="dxa"/>
            <w:vMerge w:val="continue"/>
            <w:noWrap w:val="0"/>
            <w:vAlign w:val="center"/>
          </w:tcPr>
          <w:p w14:paraId="23E06DC5">
            <w:pPr>
              <w:pStyle w:val="8"/>
              <w:bidi w:val="0"/>
              <w:rPr>
                <w:rFonts w:hint="default"/>
              </w:rPr>
            </w:pPr>
          </w:p>
        </w:tc>
        <w:tc>
          <w:tcPr>
            <w:tcW w:w="770" w:type="dxa"/>
            <w:noWrap w:val="0"/>
            <w:vAlign w:val="center"/>
          </w:tcPr>
          <w:p w14:paraId="0AE1B824">
            <w:pPr>
              <w:pStyle w:val="8"/>
              <w:bidi w:val="0"/>
              <w:rPr>
                <w:rFonts w:hint="default"/>
              </w:rPr>
            </w:pPr>
            <w:r>
              <w:rPr>
                <w:rFonts w:hint="default"/>
              </w:rPr>
              <w:t>　</w:t>
            </w:r>
          </w:p>
        </w:tc>
      </w:tr>
      <w:tr w14:paraId="7790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6F6BFEA">
            <w:pPr>
              <w:pStyle w:val="8"/>
              <w:bidi w:val="0"/>
              <w:rPr>
                <w:rFonts w:hint="default"/>
              </w:rPr>
            </w:pPr>
          </w:p>
        </w:tc>
        <w:tc>
          <w:tcPr>
            <w:tcW w:w="787" w:type="dxa"/>
            <w:vMerge w:val="continue"/>
            <w:noWrap w:val="0"/>
            <w:vAlign w:val="center"/>
          </w:tcPr>
          <w:p w14:paraId="2725BB9A">
            <w:pPr>
              <w:pStyle w:val="8"/>
              <w:bidi w:val="0"/>
              <w:rPr>
                <w:rFonts w:hint="default"/>
              </w:rPr>
            </w:pPr>
          </w:p>
        </w:tc>
        <w:tc>
          <w:tcPr>
            <w:tcW w:w="920" w:type="dxa"/>
            <w:vMerge w:val="continue"/>
            <w:noWrap w:val="0"/>
            <w:vAlign w:val="center"/>
          </w:tcPr>
          <w:p w14:paraId="37EFD1A3">
            <w:pPr>
              <w:pStyle w:val="8"/>
              <w:bidi w:val="0"/>
              <w:rPr>
                <w:rFonts w:hint="default"/>
              </w:rPr>
            </w:pPr>
          </w:p>
        </w:tc>
        <w:tc>
          <w:tcPr>
            <w:tcW w:w="6392" w:type="dxa"/>
            <w:noWrap w:val="0"/>
            <w:vAlign w:val="center"/>
          </w:tcPr>
          <w:p w14:paraId="294848C7">
            <w:pPr>
              <w:pStyle w:val="8"/>
              <w:bidi w:val="0"/>
              <w:jc w:val="left"/>
              <w:rPr>
                <w:rFonts w:hint="default"/>
              </w:rPr>
            </w:pPr>
            <w:r>
              <w:rPr>
                <w:rFonts w:hint="default"/>
              </w:rPr>
              <w:t>工厂应按照GB/T 29115的要求对其原材料使用量的减少进行评价。</w:t>
            </w:r>
          </w:p>
        </w:tc>
        <w:tc>
          <w:tcPr>
            <w:tcW w:w="2407" w:type="dxa"/>
            <w:noWrap w:val="0"/>
            <w:vAlign w:val="center"/>
          </w:tcPr>
          <w:p w14:paraId="35415665">
            <w:pPr>
              <w:pStyle w:val="8"/>
              <w:bidi w:val="0"/>
              <w:rPr>
                <w:rFonts w:hint="default"/>
              </w:rPr>
            </w:pPr>
            <w:r>
              <w:rPr>
                <w:rFonts w:hint="default"/>
              </w:rPr>
              <w:t>　</w:t>
            </w:r>
          </w:p>
        </w:tc>
        <w:tc>
          <w:tcPr>
            <w:tcW w:w="1275" w:type="dxa"/>
            <w:vMerge w:val="continue"/>
            <w:noWrap w:val="0"/>
            <w:vAlign w:val="center"/>
          </w:tcPr>
          <w:p w14:paraId="422E0F9C">
            <w:pPr>
              <w:pStyle w:val="8"/>
              <w:bidi w:val="0"/>
              <w:rPr>
                <w:rFonts w:hint="default"/>
              </w:rPr>
            </w:pPr>
          </w:p>
        </w:tc>
        <w:tc>
          <w:tcPr>
            <w:tcW w:w="851" w:type="dxa"/>
            <w:noWrap w:val="0"/>
            <w:vAlign w:val="center"/>
          </w:tcPr>
          <w:p w14:paraId="014F12CB">
            <w:pPr>
              <w:pStyle w:val="8"/>
              <w:bidi w:val="0"/>
              <w:rPr>
                <w:rFonts w:hint="default"/>
                <w:lang w:val="en-US" w:eastAsia="zh-CN"/>
              </w:rPr>
            </w:pPr>
            <w:r>
              <w:rPr>
                <w:rFonts w:hint="default"/>
                <w:lang w:val="en-US" w:eastAsia="zh-CN"/>
              </w:rPr>
              <w:t>10</w:t>
            </w:r>
          </w:p>
        </w:tc>
        <w:tc>
          <w:tcPr>
            <w:tcW w:w="711" w:type="dxa"/>
            <w:vMerge w:val="continue"/>
            <w:noWrap w:val="0"/>
            <w:vAlign w:val="center"/>
          </w:tcPr>
          <w:p w14:paraId="3ACA44E8">
            <w:pPr>
              <w:pStyle w:val="8"/>
              <w:bidi w:val="0"/>
              <w:rPr>
                <w:rFonts w:hint="default"/>
              </w:rPr>
            </w:pPr>
          </w:p>
        </w:tc>
        <w:tc>
          <w:tcPr>
            <w:tcW w:w="770" w:type="dxa"/>
            <w:noWrap w:val="0"/>
            <w:vAlign w:val="center"/>
          </w:tcPr>
          <w:p w14:paraId="1AC2A2F3">
            <w:pPr>
              <w:pStyle w:val="8"/>
              <w:bidi w:val="0"/>
              <w:rPr>
                <w:rFonts w:hint="default"/>
              </w:rPr>
            </w:pPr>
            <w:r>
              <w:rPr>
                <w:rFonts w:hint="default"/>
              </w:rPr>
              <w:t>　</w:t>
            </w:r>
          </w:p>
        </w:tc>
      </w:tr>
      <w:tr w14:paraId="0D0C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D49CFDA">
            <w:pPr>
              <w:pStyle w:val="8"/>
              <w:bidi w:val="0"/>
              <w:rPr>
                <w:rFonts w:hint="default"/>
              </w:rPr>
            </w:pPr>
          </w:p>
        </w:tc>
        <w:tc>
          <w:tcPr>
            <w:tcW w:w="787" w:type="dxa"/>
            <w:vMerge w:val="continue"/>
            <w:noWrap w:val="0"/>
            <w:vAlign w:val="center"/>
          </w:tcPr>
          <w:p w14:paraId="4F993610">
            <w:pPr>
              <w:pStyle w:val="8"/>
              <w:bidi w:val="0"/>
              <w:rPr>
                <w:rFonts w:hint="default"/>
              </w:rPr>
            </w:pPr>
          </w:p>
        </w:tc>
        <w:tc>
          <w:tcPr>
            <w:tcW w:w="920" w:type="dxa"/>
            <w:vMerge w:val="continue"/>
            <w:noWrap w:val="0"/>
            <w:vAlign w:val="center"/>
          </w:tcPr>
          <w:p w14:paraId="7B1EAC83">
            <w:pPr>
              <w:pStyle w:val="8"/>
              <w:bidi w:val="0"/>
              <w:rPr>
                <w:rFonts w:hint="default"/>
              </w:rPr>
            </w:pPr>
          </w:p>
        </w:tc>
        <w:tc>
          <w:tcPr>
            <w:tcW w:w="6392" w:type="dxa"/>
            <w:noWrap w:val="0"/>
            <w:vAlign w:val="center"/>
          </w:tcPr>
          <w:p w14:paraId="714D9359">
            <w:pPr>
              <w:pStyle w:val="8"/>
              <w:bidi w:val="0"/>
              <w:jc w:val="left"/>
              <w:rPr>
                <w:rFonts w:hint="default"/>
              </w:rPr>
            </w:pPr>
            <w:r>
              <w:rPr>
                <w:rFonts w:hint="default"/>
              </w:rPr>
              <w:t>使用回收料、可回收材料替代原生材料、不可回收材料。</w:t>
            </w:r>
          </w:p>
        </w:tc>
        <w:tc>
          <w:tcPr>
            <w:tcW w:w="2407" w:type="dxa"/>
            <w:noWrap w:val="0"/>
            <w:vAlign w:val="center"/>
          </w:tcPr>
          <w:p w14:paraId="5667AB2F">
            <w:pPr>
              <w:pStyle w:val="8"/>
              <w:bidi w:val="0"/>
              <w:rPr>
                <w:rFonts w:hint="default"/>
              </w:rPr>
            </w:pPr>
            <w:r>
              <w:rPr>
                <w:rFonts w:hint="default"/>
              </w:rPr>
              <w:t>　</w:t>
            </w:r>
          </w:p>
        </w:tc>
        <w:tc>
          <w:tcPr>
            <w:tcW w:w="1275" w:type="dxa"/>
            <w:vMerge w:val="restart"/>
            <w:noWrap w:val="0"/>
            <w:vAlign w:val="center"/>
          </w:tcPr>
          <w:p w14:paraId="5AC2509D">
            <w:pPr>
              <w:pStyle w:val="8"/>
              <w:bidi w:val="0"/>
              <w:rPr>
                <w:rFonts w:hint="default"/>
              </w:rPr>
            </w:pPr>
            <w:r>
              <w:rPr>
                <w:rFonts w:hint="default"/>
                <w:lang w:eastAsia="zh-CN"/>
              </w:rPr>
              <w:t>可选</w:t>
            </w:r>
          </w:p>
        </w:tc>
        <w:tc>
          <w:tcPr>
            <w:tcW w:w="851" w:type="dxa"/>
            <w:noWrap w:val="0"/>
            <w:vAlign w:val="center"/>
          </w:tcPr>
          <w:p w14:paraId="3FF5D1BE">
            <w:pPr>
              <w:pStyle w:val="8"/>
              <w:bidi w:val="0"/>
              <w:rPr>
                <w:rFonts w:hint="default"/>
                <w:lang w:val="en-US" w:eastAsia="zh-CN"/>
              </w:rPr>
            </w:pPr>
            <w:r>
              <w:rPr>
                <w:rFonts w:hint="default"/>
                <w:lang w:val="en-US" w:eastAsia="zh-CN"/>
              </w:rPr>
              <w:t>5</w:t>
            </w:r>
          </w:p>
        </w:tc>
        <w:tc>
          <w:tcPr>
            <w:tcW w:w="711" w:type="dxa"/>
            <w:vMerge w:val="continue"/>
            <w:noWrap w:val="0"/>
            <w:vAlign w:val="center"/>
          </w:tcPr>
          <w:p w14:paraId="4493ACA7">
            <w:pPr>
              <w:pStyle w:val="8"/>
              <w:bidi w:val="0"/>
              <w:rPr>
                <w:rFonts w:hint="default"/>
              </w:rPr>
            </w:pPr>
          </w:p>
        </w:tc>
        <w:tc>
          <w:tcPr>
            <w:tcW w:w="770" w:type="dxa"/>
            <w:noWrap w:val="0"/>
            <w:vAlign w:val="center"/>
          </w:tcPr>
          <w:p w14:paraId="11187239">
            <w:pPr>
              <w:pStyle w:val="8"/>
              <w:bidi w:val="0"/>
              <w:rPr>
                <w:rFonts w:hint="default"/>
              </w:rPr>
            </w:pPr>
            <w:r>
              <w:rPr>
                <w:rFonts w:hint="default"/>
              </w:rPr>
              <w:t>　</w:t>
            </w:r>
          </w:p>
        </w:tc>
      </w:tr>
      <w:tr w14:paraId="6443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4F468FA7">
            <w:pPr>
              <w:pStyle w:val="8"/>
              <w:bidi w:val="0"/>
              <w:rPr>
                <w:rFonts w:hint="default"/>
              </w:rPr>
            </w:pPr>
          </w:p>
        </w:tc>
        <w:tc>
          <w:tcPr>
            <w:tcW w:w="787" w:type="dxa"/>
            <w:vMerge w:val="continue"/>
            <w:noWrap w:val="0"/>
            <w:vAlign w:val="center"/>
          </w:tcPr>
          <w:p w14:paraId="154BE7B3">
            <w:pPr>
              <w:pStyle w:val="8"/>
              <w:bidi w:val="0"/>
              <w:rPr>
                <w:rFonts w:hint="default"/>
              </w:rPr>
            </w:pPr>
          </w:p>
        </w:tc>
        <w:tc>
          <w:tcPr>
            <w:tcW w:w="920" w:type="dxa"/>
            <w:vMerge w:val="continue"/>
            <w:noWrap w:val="0"/>
            <w:vAlign w:val="center"/>
          </w:tcPr>
          <w:p w14:paraId="29BCC04B">
            <w:pPr>
              <w:pStyle w:val="8"/>
              <w:bidi w:val="0"/>
              <w:rPr>
                <w:rFonts w:hint="default"/>
              </w:rPr>
            </w:pPr>
          </w:p>
        </w:tc>
        <w:tc>
          <w:tcPr>
            <w:tcW w:w="6392" w:type="dxa"/>
            <w:noWrap w:val="0"/>
            <w:vAlign w:val="center"/>
          </w:tcPr>
          <w:p w14:paraId="7D7BB932">
            <w:pPr>
              <w:pStyle w:val="8"/>
              <w:bidi w:val="0"/>
              <w:jc w:val="left"/>
              <w:rPr>
                <w:rFonts w:hint="default"/>
              </w:rPr>
            </w:pPr>
            <w:r>
              <w:rPr>
                <w:rFonts w:hint="default"/>
              </w:rPr>
              <w:t>替代或减少全球增温潜势较高温室气体的使用。</w:t>
            </w:r>
          </w:p>
        </w:tc>
        <w:tc>
          <w:tcPr>
            <w:tcW w:w="2407" w:type="dxa"/>
            <w:noWrap w:val="0"/>
            <w:vAlign w:val="center"/>
          </w:tcPr>
          <w:p w14:paraId="2C392A04">
            <w:pPr>
              <w:pStyle w:val="8"/>
              <w:bidi w:val="0"/>
              <w:rPr>
                <w:rFonts w:hint="default"/>
              </w:rPr>
            </w:pPr>
            <w:r>
              <w:rPr>
                <w:rFonts w:hint="default"/>
              </w:rPr>
              <w:t>　</w:t>
            </w:r>
          </w:p>
        </w:tc>
        <w:tc>
          <w:tcPr>
            <w:tcW w:w="1275" w:type="dxa"/>
            <w:vMerge w:val="continue"/>
            <w:noWrap w:val="0"/>
            <w:vAlign w:val="center"/>
          </w:tcPr>
          <w:p w14:paraId="1BB583B9">
            <w:pPr>
              <w:pStyle w:val="8"/>
              <w:bidi w:val="0"/>
              <w:rPr>
                <w:rFonts w:hint="default"/>
              </w:rPr>
            </w:pPr>
          </w:p>
        </w:tc>
        <w:tc>
          <w:tcPr>
            <w:tcW w:w="851" w:type="dxa"/>
            <w:noWrap w:val="0"/>
            <w:vAlign w:val="center"/>
          </w:tcPr>
          <w:p w14:paraId="47B00C7C">
            <w:pPr>
              <w:pStyle w:val="8"/>
              <w:bidi w:val="0"/>
              <w:rPr>
                <w:rFonts w:hint="default"/>
                <w:lang w:val="en-US" w:eastAsia="zh-CN"/>
              </w:rPr>
            </w:pPr>
            <w:r>
              <w:rPr>
                <w:rFonts w:hint="default"/>
                <w:lang w:val="en-US" w:eastAsia="zh-CN"/>
              </w:rPr>
              <w:t>4</w:t>
            </w:r>
          </w:p>
        </w:tc>
        <w:tc>
          <w:tcPr>
            <w:tcW w:w="711" w:type="dxa"/>
            <w:vMerge w:val="continue"/>
            <w:noWrap w:val="0"/>
            <w:vAlign w:val="center"/>
          </w:tcPr>
          <w:p w14:paraId="16AB3CF5">
            <w:pPr>
              <w:pStyle w:val="8"/>
              <w:bidi w:val="0"/>
              <w:rPr>
                <w:rFonts w:hint="default"/>
              </w:rPr>
            </w:pPr>
          </w:p>
        </w:tc>
        <w:tc>
          <w:tcPr>
            <w:tcW w:w="770" w:type="dxa"/>
            <w:noWrap w:val="0"/>
            <w:vAlign w:val="center"/>
          </w:tcPr>
          <w:p w14:paraId="127608B9">
            <w:pPr>
              <w:pStyle w:val="8"/>
              <w:bidi w:val="0"/>
              <w:rPr>
                <w:rFonts w:hint="default"/>
              </w:rPr>
            </w:pPr>
            <w:r>
              <w:rPr>
                <w:rFonts w:hint="default"/>
              </w:rPr>
              <w:t>　</w:t>
            </w:r>
          </w:p>
        </w:tc>
      </w:tr>
      <w:tr w14:paraId="30E7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A576565">
            <w:pPr>
              <w:pStyle w:val="8"/>
              <w:bidi w:val="0"/>
              <w:rPr>
                <w:rFonts w:hint="default"/>
              </w:rPr>
            </w:pPr>
          </w:p>
        </w:tc>
        <w:tc>
          <w:tcPr>
            <w:tcW w:w="787" w:type="dxa"/>
            <w:vMerge w:val="continue"/>
            <w:noWrap w:val="0"/>
            <w:vAlign w:val="center"/>
          </w:tcPr>
          <w:p w14:paraId="39A39FB0">
            <w:pPr>
              <w:pStyle w:val="8"/>
              <w:bidi w:val="0"/>
              <w:rPr>
                <w:rFonts w:hint="default"/>
              </w:rPr>
            </w:pPr>
          </w:p>
        </w:tc>
        <w:tc>
          <w:tcPr>
            <w:tcW w:w="920" w:type="dxa"/>
            <w:vMerge w:val="restart"/>
            <w:noWrap w:val="0"/>
            <w:vAlign w:val="center"/>
          </w:tcPr>
          <w:p w14:paraId="3AA32CB3">
            <w:pPr>
              <w:pStyle w:val="8"/>
              <w:bidi w:val="0"/>
              <w:rPr>
                <w:rFonts w:hint="default"/>
              </w:rPr>
            </w:pPr>
            <w:r>
              <w:rPr>
                <w:rFonts w:hint="default"/>
              </w:rPr>
              <w:t>采购</w:t>
            </w:r>
          </w:p>
        </w:tc>
        <w:tc>
          <w:tcPr>
            <w:tcW w:w="6392" w:type="dxa"/>
            <w:noWrap w:val="0"/>
            <w:vAlign w:val="center"/>
          </w:tcPr>
          <w:p w14:paraId="08EB96FE">
            <w:pPr>
              <w:pStyle w:val="8"/>
              <w:bidi w:val="0"/>
              <w:jc w:val="left"/>
              <w:rPr>
                <w:rFonts w:hint="default"/>
              </w:rPr>
            </w:pPr>
            <w:r>
              <w:rPr>
                <w:rFonts w:hint="default"/>
              </w:rPr>
              <w:t>工厂应制定并实施包括环保要求的选择、评价和重新评价供方的准则</w:t>
            </w:r>
            <w:r>
              <w:rPr>
                <w:rFonts w:hint="default"/>
                <w:lang w:eastAsia="zh-CN"/>
              </w:rPr>
              <w:t>。</w:t>
            </w:r>
          </w:p>
        </w:tc>
        <w:tc>
          <w:tcPr>
            <w:tcW w:w="2407" w:type="dxa"/>
            <w:noWrap w:val="0"/>
            <w:vAlign w:val="center"/>
          </w:tcPr>
          <w:p w14:paraId="3C20819C">
            <w:pPr>
              <w:pStyle w:val="8"/>
              <w:bidi w:val="0"/>
              <w:rPr>
                <w:rFonts w:hint="default"/>
              </w:rPr>
            </w:pPr>
            <w:r>
              <w:rPr>
                <w:rFonts w:hint="default"/>
              </w:rPr>
              <w:t>　</w:t>
            </w:r>
          </w:p>
        </w:tc>
        <w:tc>
          <w:tcPr>
            <w:tcW w:w="1275" w:type="dxa"/>
            <w:vMerge w:val="restart"/>
            <w:noWrap w:val="0"/>
            <w:vAlign w:val="center"/>
          </w:tcPr>
          <w:p w14:paraId="3B026E8E">
            <w:pPr>
              <w:pStyle w:val="8"/>
              <w:bidi w:val="0"/>
              <w:rPr>
                <w:rFonts w:hint="default"/>
              </w:rPr>
            </w:pPr>
            <w:r>
              <w:rPr>
                <w:rFonts w:hint="default"/>
                <w:lang w:eastAsia="zh-CN"/>
              </w:rPr>
              <w:t>必选</w:t>
            </w:r>
          </w:p>
        </w:tc>
        <w:tc>
          <w:tcPr>
            <w:tcW w:w="851" w:type="dxa"/>
            <w:noWrap w:val="0"/>
            <w:vAlign w:val="center"/>
          </w:tcPr>
          <w:p w14:paraId="32A80BEF">
            <w:pPr>
              <w:pStyle w:val="8"/>
              <w:bidi w:val="0"/>
              <w:rPr>
                <w:rFonts w:hint="default"/>
                <w:lang w:val="en-US" w:eastAsia="zh-CN"/>
              </w:rPr>
            </w:pPr>
            <w:r>
              <w:rPr>
                <w:rFonts w:hint="default"/>
                <w:lang w:val="en-US" w:eastAsia="zh-CN"/>
              </w:rPr>
              <w:t>10</w:t>
            </w:r>
          </w:p>
        </w:tc>
        <w:tc>
          <w:tcPr>
            <w:tcW w:w="711" w:type="dxa"/>
            <w:vMerge w:val="continue"/>
            <w:noWrap w:val="0"/>
            <w:vAlign w:val="center"/>
          </w:tcPr>
          <w:p w14:paraId="2E9642A2">
            <w:pPr>
              <w:pStyle w:val="8"/>
              <w:bidi w:val="0"/>
              <w:rPr>
                <w:rFonts w:hint="default"/>
              </w:rPr>
            </w:pPr>
          </w:p>
        </w:tc>
        <w:tc>
          <w:tcPr>
            <w:tcW w:w="770" w:type="dxa"/>
            <w:noWrap w:val="0"/>
            <w:vAlign w:val="center"/>
          </w:tcPr>
          <w:p w14:paraId="75F78155">
            <w:pPr>
              <w:pStyle w:val="8"/>
              <w:bidi w:val="0"/>
              <w:rPr>
                <w:rFonts w:hint="default"/>
              </w:rPr>
            </w:pPr>
            <w:r>
              <w:rPr>
                <w:rFonts w:hint="default"/>
              </w:rPr>
              <w:t>　</w:t>
            </w:r>
          </w:p>
        </w:tc>
      </w:tr>
      <w:tr w14:paraId="6B53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27DE11E">
            <w:pPr>
              <w:pStyle w:val="8"/>
              <w:bidi w:val="0"/>
              <w:rPr>
                <w:rFonts w:hint="default"/>
              </w:rPr>
            </w:pPr>
          </w:p>
        </w:tc>
        <w:tc>
          <w:tcPr>
            <w:tcW w:w="787" w:type="dxa"/>
            <w:vMerge w:val="continue"/>
            <w:noWrap w:val="0"/>
            <w:vAlign w:val="center"/>
          </w:tcPr>
          <w:p w14:paraId="76829EDC">
            <w:pPr>
              <w:pStyle w:val="8"/>
              <w:bidi w:val="0"/>
              <w:rPr>
                <w:rFonts w:hint="default"/>
              </w:rPr>
            </w:pPr>
          </w:p>
        </w:tc>
        <w:tc>
          <w:tcPr>
            <w:tcW w:w="920" w:type="dxa"/>
            <w:vMerge w:val="continue"/>
            <w:noWrap w:val="0"/>
            <w:vAlign w:val="center"/>
          </w:tcPr>
          <w:p w14:paraId="30CC3A4B">
            <w:pPr>
              <w:pStyle w:val="8"/>
              <w:bidi w:val="0"/>
              <w:rPr>
                <w:rFonts w:hint="default"/>
              </w:rPr>
            </w:pPr>
          </w:p>
        </w:tc>
        <w:tc>
          <w:tcPr>
            <w:tcW w:w="6392" w:type="dxa"/>
            <w:noWrap w:val="0"/>
            <w:vAlign w:val="center"/>
          </w:tcPr>
          <w:p w14:paraId="3FA821B8">
            <w:pPr>
              <w:pStyle w:val="8"/>
              <w:bidi w:val="0"/>
              <w:jc w:val="left"/>
              <w:rPr>
                <w:rFonts w:hint="default"/>
              </w:rPr>
            </w:pPr>
            <w:r>
              <w:rPr>
                <w:rFonts w:hint="default"/>
              </w:rPr>
              <w:t>工厂应确定并实施检验或其他必要的活动，以确保采购的产品满足规定的采购要求。</w:t>
            </w:r>
          </w:p>
        </w:tc>
        <w:tc>
          <w:tcPr>
            <w:tcW w:w="2407" w:type="dxa"/>
            <w:noWrap w:val="0"/>
            <w:vAlign w:val="center"/>
          </w:tcPr>
          <w:p w14:paraId="2141F447">
            <w:pPr>
              <w:pStyle w:val="8"/>
              <w:bidi w:val="0"/>
              <w:rPr>
                <w:rFonts w:hint="default"/>
              </w:rPr>
            </w:pPr>
            <w:r>
              <w:rPr>
                <w:rFonts w:hint="default"/>
              </w:rPr>
              <w:t>　</w:t>
            </w:r>
          </w:p>
        </w:tc>
        <w:tc>
          <w:tcPr>
            <w:tcW w:w="1275" w:type="dxa"/>
            <w:vMerge w:val="continue"/>
            <w:noWrap w:val="0"/>
            <w:vAlign w:val="center"/>
          </w:tcPr>
          <w:p w14:paraId="7065C912">
            <w:pPr>
              <w:pStyle w:val="8"/>
              <w:bidi w:val="0"/>
              <w:rPr>
                <w:rFonts w:hint="default"/>
              </w:rPr>
            </w:pPr>
          </w:p>
        </w:tc>
        <w:tc>
          <w:tcPr>
            <w:tcW w:w="851" w:type="dxa"/>
            <w:noWrap w:val="0"/>
            <w:vAlign w:val="center"/>
          </w:tcPr>
          <w:p w14:paraId="79AC2354">
            <w:pPr>
              <w:pStyle w:val="8"/>
              <w:bidi w:val="0"/>
              <w:rPr>
                <w:rFonts w:hint="default"/>
                <w:lang w:val="en-US" w:eastAsia="zh-CN"/>
              </w:rPr>
            </w:pPr>
            <w:r>
              <w:rPr>
                <w:rFonts w:hint="default"/>
                <w:lang w:val="en-US" w:eastAsia="zh-CN"/>
              </w:rPr>
              <w:t>10</w:t>
            </w:r>
          </w:p>
        </w:tc>
        <w:tc>
          <w:tcPr>
            <w:tcW w:w="711" w:type="dxa"/>
            <w:vMerge w:val="continue"/>
            <w:noWrap w:val="0"/>
            <w:vAlign w:val="center"/>
          </w:tcPr>
          <w:p w14:paraId="3F57B136">
            <w:pPr>
              <w:pStyle w:val="8"/>
              <w:bidi w:val="0"/>
              <w:rPr>
                <w:rFonts w:hint="default"/>
              </w:rPr>
            </w:pPr>
          </w:p>
        </w:tc>
        <w:tc>
          <w:tcPr>
            <w:tcW w:w="770" w:type="dxa"/>
            <w:noWrap w:val="0"/>
            <w:vAlign w:val="center"/>
          </w:tcPr>
          <w:p w14:paraId="34AB370C">
            <w:pPr>
              <w:pStyle w:val="8"/>
              <w:bidi w:val="0"/>
              <w:rPr>
                <w:rFonts w:hint="default"/>
              </w:rPr>
            </w:pPr>
            <w:r>
              <w:rPr>
                <w:rFonts w:hint="default"/>
              </w:rPr>
              <w:t>　</w:t>
            </w:r>
          </w:p>
        </w:tc>
      </w:tr>
      <w:tr w14:paraId="3FB1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5A58C8FE">
            <w:pPr>
              <w:pStyle w:val="8"/>
              <w:bidi w:val="0"/>
              <w:rPr>
                <w:rFonts w:hint="default"/>
              </w:rPr>
            </w:pPr>
          </w:p>
        </w:tc>
        <w:tc>
          <w:tcPr>
            <w:tcW w:w="787" w:type="dxa"/>
            <w:vMerge w:val="continue"/>
            <w:noWrap w:val="0"/>
            <w:vAlign w:val="center"/>
          </w:tcPr>
          <w:p w14:paraId="0E5A4C6F">
            <w:pPr>
              <w:pStyle w:val="8"/>
              <w:bidi w:val="0"/>
              <w:rPr>
                <w:rFonts w:hint="default"/>
              </w:rPr>
            </w:pPr>
          </w:p>
        </w:tc>
        <w:tc>
          <w:tcPr>
            <w:tcW w:w="920" w:type="dxa"/>
            <w:vMerge w:val="continue"/>
            <w:noWrap w:val="0"/>
            <w:vAlign w:val="center"/>
          </w:tcPr>
          <w:p w14:paraId="1A501910">
            <w:pPr>
              <w:pStyle w:val="8"/>
              <w:bidi w:val="0"/>
              <w:rPr>
                <w:rFonts w:hint="default"/>
              </w:rPr>
            </w:pPr>
          </w:p>
        </w:tc>
        <w:tc>
          <w:tcPr>
            <w:tcW w:w="6392" w:type="dxa"/>
            <w:noWrap w:val="0"/>
            <w:vAlign w:val="center"/>
          </w:tcPr>
          <w:p w14:paraId="4A8047EA">
            <w:pPr>
              <w:pStyle w:val="8"/>
              <w:bidi w:val="0"/>
              <w:jc w:val="left"/>
              <w:rPr>
                <w:rFonts w:hint="default"/>
              </w:rPr>
            </w:pPr>
            <w:r>
              <w:rPr>
                <w:rFonts w:hint="default"/>
              </w:rPr>
              <w:t>工厂向供方提供的采购信息包含有害物质使用、可回收材料使用、能效等环保要求。</w:t>
            </w:r>
          </w:p>
        </w:tc>
        <w:tc>
          <w:tcPr>
            <w:tcW w:w="2407" w:type="dxa"/>
            <w:noWrap w:val="0"/>
            <w:vAlign w:val="center"/>
          </w:tcPr>
          <w:p w14:paraId="2E81A4A0">
            <w:pPr>
              <w:pStyle w:val="8"/>
              <w:bidi w:val="0"/>
              <w:rPr>
                <w:rFonts w:hint="default"/>
              </w:rPr>
            </w:pPr>
            <w:r>
              <w:rPr>
                <w:rFonts w:hint="default"/>
              </w:rPr>
              <w:t>　</w:t>
            </w:r>
          </w:p>
        </w:tc>
        <w:tc>
          <w:tcPr>
            <w:tcW w:w="1275" w:type="dxa"/>
            <w:vMerge w:val="restart"/>
            <w:noWrap w:val="0"/>
            <w:vAlign w:val="center"/>
          </w:tcPr>
          <w:p w14:paraId="31C0C1B1">
            <w:pPr>
              <w:pStyle w:val="8"/>
              <w:bidi w:val="0"/>
              <w:rPr>
                <w:rFonts w:hint="default"/>
              </w:rPr>
            </w:pPr>
            <w:r>
              <w:rPr>
                <w:rFonts w:hint="default"/>
                <w:lang w:eastAsia="zh-CN"/>
              </w:rPr>
              <w:t>可选</w:t>
            </w:r>
          </w:p>
        </w:tc>
        <w:tc>
          <w:tcPr>
            <w:tcW w:w="851" w:type="dxa"/>
            <w:noWrap w:val="0"/>
            <w:vAlign w:val="center"/>
          </w:tcPr>
          <w:p w14:paraId="1F3647D9">
            <w:pPr>
              <w:pStyle w:val="8"/>
              <w:bidi w:val="0"/>
              <w:rPr>
                <w:rFonts w:hint="default"/>
                <w:lang w:val="en-US" w:eastAsia="zh-CN"/>
              </w:rPr>
            </w:pPr>
            <w:r>
              <w:rPr>
                <w:rFonts w:hint="default"/>
                <w:lang w:val="en-US" w:eastAsia="zh-CN"/>
              </w:rPr>
              <w:t>4</w:t>
            </w:r>
          </w:p>
        </w:tc>
        <w:tc>
          <w:tcPr>
            <w:tcW w:w="711" w:type="dxa"/>
            <w:vMerge w:val="continue"/>
            <w:noWrap w:val="0"/>
            <w:vAlign w:val="center"/>
          </w:tcPr>
          <w:p w14:paraId="0F6013F9">
            <w:pPr>
              <w:pStyle w:val="8"/>
              <w:bidi w:val="0"/>
              <w:rPr>
                <w:rFonts w:hint="default"/>
              </w:rPr>
            </w:pPr>
          </w:p>
        </w:tc>
        <w:tc>
          <w:tcPr>
            <w:tcW w:w="770" w:type="dxa"/>
            <w:noWrap w:val="0"/>
            <w:vAlign w:val="center"/>
          </w:tcPr>
          <w:p w14:paraId="2DB608CA">
            <w:pPr>
              <w:pStyle w:val="8"/>
              <w:bidi w:val="0"/>
              <w:rPr>
                <w:rFonts w:hint="default"/>
              </w:rPr>
            </w:pPr>
            <w:r>
              <w:rPr>
                <w:rFonts w:hint="default"/>
              </w:rPr>
              <w:t>　</w:t>
            </w:r>
          </w:p>
        </w:tc>
      </w:tr>
      <w:tr w14:paraId="2219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8B1EF47">
            <w:pPr>
              <w:pStyle w:val="8"/>
              <w:bidi w:val="0"/>
              <w:rPr>
                <w:rFonts w:hint="default"/>
              </w:rPr>
            </w:pPr>
          </w:p>
        </w:tc>
        <w:tc>
          <w:tcPr>
            <w:tcW w:w="787" w:type="dxa"/>
            <w:vMerge w:val="continue"/>
            <w:noWrap w:val="0"/>
            <w:vAlign w:val="center"/>
          </w:tcPr>
          <w:p w14:paraId="4587F773">
            <w:pPr>
              <w:pStyle w:val="8"/>
              <w:bidi w:val="0"/>
              <w:rPr>
                <w:rFonts w:hint="default"/>
              </w:rPr>
            </w:pPr>
          </w:p>
        </w:tc>
        <w:tc>
          <w:tcPr>
            <w:tcW w:w="920" w:type="dxa"/>
            <w:vMerge w:val="continue"/>
            <w:noWrap w:val="0"/>
            <w:vAlign w:val="center"/>
          </w:tcPr>
          <w:p w14:paraId="2CDB4F58">
            <w:pPr>
              <w:pStyle w:val="8"/>
              <w:bidi w:val="0"/>
              <w:rPr>
                <w:rFonts w:hint="default"/>
              </w:rPr>
            </w:pPr>
          </w:p>
        </w:tc>
        <w:tc>
          <w:tcPr>
            <w:tcW w:w="6392" w:type="dxa"/>
            <w:noWrap w:val="0"/>
            <w:vAlign w:val="center"/>
          </w:tcPr>
          <w:p w14:paraId="20904EBF">
            <w:pPr>
              <w:pStyle w:val="8"/>
              <w:bidi w:val="0"/>
              <w:jc w:val="left"/>
              <w:rPr>
                <w:rFonts w:hint="default"/>
              </w:rPr>
            </w:pPr>
            <w:r>
              <w:rPr>
                <w:rFonts w:hint="default"/>
              </w:rPr>
              <w:t>满足绿色供应链评价要求。</w:t>
            </w:r>
          </w:p>
        </w:tc>
        <w:tc>
          <w:tcPr>
            <w:tcW w:w="2407" w:type="dxa"/>
            <w:noWrap w:val="0"/>
            <w:vAlign w:val="center"/>
          </w:tcPr>
          <w:p w14:paraId="6B0BD564">
            <w:pPr>
              <w:pStyle w:val="8"/>
              <w:bidi w:val="0"/>
              <w:rPr>
                <w:rFonts w:hint="default"/>
              </w:rPr>
            </w:pPr>
            <w:r>
              <w:rPr>
                <w:rFonts w:hint="default"/>
              </w:rPr>
              <w:t>　</w:t>
            </w:r>
          </w:p>
        </w:tc>
        <w:tc>
          <w:tcPr>
            <w:tcW w:w="1275" w:type="dxa"/>
            <w:vMerge w:val="continue"/>
            <w:noWrap w:val="0"/>
            <w:vAlign w:val="center"/>
          </w:tcPr>
          <w:p w14:paraId="54FB7916">
            <w:pPr>
              <w:pStyle w:val="8"/>
              <w:bidi w:val="0"/>
              <w:rPr>
                <w:rFonts w:hint="default"/>
              </w:rPr>
            </w:pPr>
          </w:p>
        </w:tc>
        <w:tc>
          <w:tcPr>
            <w:tcW w:w="851" w:type="dxa"/>
            <w:noWrap w:val="0"/>
            <w:vAlign w:val="center"/>
          </w:tcPr>
          <w:p w14:paraId="687579B8">
            <w:pPr>
              <w:pStyle w:val="8"/>
              <w:bidi w:val="0"/>
              <w:rPr>
                <w:rFonts w:hint="default"/>
                <w:lang w:val="en-US" w:eastAsia="zh-CN"/>
              </w:rPr>
            </w:pPr>
            <w:r>
              <w:rPr>
                <w:rFonts w:hint="default"/>
                <w:lang w:val="en-US" w:eastAsia="zh-CN"/>
              </w:rPr>
              <w:t>5</w:t>
            </w:r>
          </w:p>
        </w:tc>
        <w:tc>
          <w:tcPr>
            <w:tcW w:w="711" w:type="dxa"/>
            <w:vMerge w:val="continue"/>
            <w:noWrap w:val="0"/>
            <w:vAlign w:val="center"/>
          </w:tcPr>
          <w:p w14:paraId="6F7F113F">
            <w:pPr>
              <w:pStyle w:val="8"/>
              <w:bidi w:val="0"/>
              <w:rPr>
                <w:rFonts w:hint="default"/>
              </w:rPr>
            </w:pPr>
          </w:p>
        </w:tc>
        <w:tc>
          <w:tcPr>
            <w:tcW w:w="770" w:type="dxa"/>
            <w:noWrap w:val="0"/>
            <w:vAlign w:val="center"/>
          </w:tcPr>
          <w:p w14:paraId="2FC1EC99">
            <w:pPr>
              <w:pStyle w:val="8"/>
              <w:bidi w:val="0"/>
              <w:rPr>
                <w:rFonts w:hint="default"/>
              </w:rPr>
            </w:pPr>
            <w:r>
              <w:rPr>
                <w:rFonts w:hint="default"/>
              </w:rPr>
              <w:t>　</w:t>
            </w:r>
          </w:p>
        </w:tc>
      </w:tr>
      <w:tr w14:paraId="7262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noWrap w:val="0"/>
            <w:vAlign w:val="center"/>
          </w:tcPr>
          <w:p w14:paraId="552B59B9">
            <w:pPr>
              <w:pStyle w:val="8"/>
              <w:bidi w:val="0"/>
              <w:rPr>
                <w:rFonts w:hint="default"/>
              </w:rPr>
            </w:pPr>
            <w:r>
              <w:rPr>
                <w:rFonts w:hint="default"/>
              </w:rPr>
              <w:t>4</w:t>
            </w:r>
          </w:p>
        </w:tc>
        <w:tc>
          <w:tcPr>
            <w:tcW w:w="787" w:type="dxa"/>
            <w:vMerge w:val="restart"/>
            <w:noWrap w:val="0"/>
            <w:vAlign w:val="center"/>
          </w:tcPr>
          <w:p w14:paraId="339EE697">
            <w:pPr>
              <w:pStyle w:val="8"/>
              <w:bidi w:val="0"/>
              <w:rPr>
                <w:rFonts w:hint="default"/>
              </w:rPr>
            </w:pPr>
            <w:r>
              <w:rPr>
                <w:rFonts w:hint="default"/>
              </w:rPr>
              <w:t>产品</w:t>
            </w:r>
          </w:p>
        </w:tc>
        <w:tc>
          <w:tcPr>
            <w:tcW w:w="920" w:type="dxa"/>
            <w:vMerge w:val="restart"/>
            <w:noWrap w:val="0"/>
            <w:vAlign w:val="center"/>
          </w:tcPr>
          <w:p w14:paraId="7E814C30">
            <w:pPr>
              <w:pStyle w:val="8"/>
              <w:bidi w:val="0"/>
              <w:rPr>
                <w:rFonts w:hint="default"/>
              </w:rPr>
            </w:pPr>
            <w:r>
              <w:rPr>
                <w:rFonts w:hint="default"/>
              </w:rPr>
              <w:t>生态</w:t>
            </w:r>
          </w:p>
          <w:p w14:paraId="1B0121BF">
            <w:pPr>
              <w:pStyle w:val="8"/>
              <w:bidi w:val="0"/>
              <w:rPr>
                <w:rFonts w:hint="default"/>
              </w:rPr>
            </w:pPr>
            <w:r>
              <w:rPr>
                <w:rFonts w:hint="default"/>
              </w:rPr>
              <w:t>设计</w:t>
            </w:r>
          </w:p>
        </w:tc>
        <w:tc>
          <w:tcPr>
            <w:tcW w:w="6392" w:type="dxa"/>
            <w:noWrap w:val="0"/>
            <w:vAlign w:val="center"/>
          </w:tcPr>
          <w:p w14:paraId="1E866926">
            <w:pPr>
              <w:pStyle w:val="8"/>
              <w:bidi w:val="0"/>
              <w:jc w:val="left"/>
              <w:rPr>
                <w:rFonts w:hint="default"/>
              </w:rPr>
            </w:pPr>
            <w:r>
              <w:rPr>
                <w:rFonts w:hint="default"/>
              </w:rPr>
              <w:t>工厂在产品设计中引入生态设计的理念。</w:t>
            </w:r>
          </w:p>
        </w:tc>
        <w:tc>
          <w:tcPr>
            <w:tcW w:w="2407" w:type="dxa"/>
            <w:noWrap w:val="0"/>
            <w:vAlign w:val="center"/>
          </w:tcPr>
          <w:p w14:paraId="543A61AC">
            <w:pPr>
              <w:pStyle w:val="8"/>
              <w:bidi w:val="0"/>
              <w:rPr>
                <w:rFonts w:hint="default"/>
              </w:rPr>
            </w:pPr>
            <w:r>
              <w:rPr>
                <w:rFonts w:hint="default"/>
              </w:rPr>
              <w:t>　</w:t>
            </w:r>
          </w:p>
        </w:tc>
        <w:tc>
          <w:tcPr>
            <w:tcW w:w="1275" w:type="dxa"/>
            <w:noWrap w:val="0"/>
            <w:vAlign w:val="center"/>
          </w:tcPr>
          <w:p w14:paraId="38F23772">
            <w:pPr>
              <w:pStyle w:val="8"/>
              <w:bidi w:val="0"/>
              <w:rPr>
                <w:rFonts w:hint="default"/>
              </w:rPr>
            </w:pPr>
            <w:r>
              <w:rPr>
                <w:rFonts w:hint="default"/>
                <w:lang w:eastAsia="zh-CN"/>
              </w:rPr>
              <w:t>必选</w:t>
            </w:r>
          </w:p>
        </w:tc>
        <w:tc>
          <w:tcPr>
            <w:tcW w:w="851" w:type="dxa"/>
            <w:noWrap w:val="0"/>
            <w:vAlign w:val="center"/>
          </w:tcPr>
          <w:p w14:paraId="3E73CCEC">
            <w:pPr>
              <w:pStyle w:val="8"/>
              <w:bidi w:val="0"/>
              <w:rPr>
                <w:rFonts w:hint="default"/>
                <w:lang w:val="en-US" w:eastAsia="zh-CN"/>
              </w:rPr>
            </w:pPr>
            <w:r>
              <w:rPr>
                <w:rFonts w:hint="default"/>
                <w:lang w:val="en-US" w:eastAsia="zh-CN"/>
              </w:rPr>
              <w:t>30</w:t>
            </w:r>
          </w:p>
        </w:tc>
        <w:tc>
          <w:tcPr>
            <w:tcW w:w="711" w:type="dxa"/>
            <w:vMerge w:val="restart"/>
            <w:noWrap w:val="0"/>
            <w:vAlign w:val="center"/>
          </w:tcPr>
          <w:p w14:paraId="3FB75995">
            <w:pPr>
              <w:pStyle w:val="8"/>
              <w:bidi w:val="0"/>
              <w:rPr>
                <w:rFonts w:hint="default"/>
              </w:rPr>
            </w:pPr>
            <w:r>
              <w:rPr>
                <w:rFonts w:hint="default"/>
              </w:rPr>
              <w:t>10%</w:t>
            </w:r>
          </w:p>
        </w:tc>
        <w:tc>
          <w:tcPr>
            <w:tcW w:w="770" w:type="dxa"/>
            <w:noWrap w:val="0"/>
            <w:vAlign w:val="center"/>
          </w:tcPr>
          <w:p w14:paraId="2E486984">
            <w:pPr>
              <w:pStyle w:val="8"/>
              <w:bidi w:val="0"/>
              <w:rPr>
                <w:rFonts w:hint="default"/>
              </w:rPr>
            </w:pPr>
            <w:r>
              <w:rPr>
                <w:rFonts w:hint="default"/>
              </w:rPr>
              <w:t>　</w:t>
            </w:r>
          </w:p>
        </w:tc>
      </w:tr>
      <w:tr w14:paraId="5612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1BC68BE6">
            <w:pPr>
              <w:pStyle w:val="8"/>
              <w:bidi w:val="0"/>
              <w:rPr>
                <w:rFonts w:hint="default"/>
              </w:rPr>
            </w:pPr>
          </w:p>
        </w:tc>
        <w:tc>
          <w:tcPr>
            <w:tcW w:w="787" w:type="dxa"/>
            <w:vMerge w:val="continue"/>
            <w:noWrap w:val="0"/>
            <w:vAlign w:val="center"/>
          </w:tcPr>
          <w:p w14:paraId="0BBF6DE1">
            <w:pPr>
              <w:pStyle w:val="8"/>
              <w:bidi w:val="0"/>
              <w:rPr>
                <w:rFonts w:hint="default"/>
              </w:rPr>
            </w:pPr>
          </w:p>
        </w:tc>
        <w:tc>
          <w:tcPr>
            <w:tcW w:w="920" w:type="dxa"/>
            <w:vMerge w:val="continue"/>
            <w:noWrap w:val="0"/>
            <w:vAlign w:val="center"/>
          </w:tcPr>
          <w:p w14:paraId="40A42146">
            <w:pPr>
              <w:pStyle w:val="8"/>
              <w:bidi w:val="0"/>
              <w:rPr>
                <w:rFonts w:hint="default"/>
              </w:rPr>
            </w:pPr>
          </w:p>
        </w:tc>
        <w:tc>
          <w:tcPr>
            <w:tcW w:w="6392" w:type="dxa"/>
            <w:noWrap w:val="0"/>
            <w:vAlign w:val="center"/>
          </w:tcPr>
          <w:p w14:paraId="5E0F74D1">
            <w:pPr>
              <w:pStyle w:val="8"/>
              <w:bidi w:val="0"/>
              <w:jc w:val="left"/>
              <w:rPr>
                <w:rFonts w:hint="default"/>
              </w:rPr>
            </w:pPr>
            <w:r>
              <w:rPr>
                <w:rFonts w:hint="default"/>
              </w:rPr>
              <w:t>按照GB/T 24256对生产的产品进行生态设计</w:t>
            </w:r>
            <w:r>
              <w:rPr>
                <w:rFonts w:hint="default"/>
                <w:lang w:eastAsia="zh-CN"/>
              </w:rPr>
              <w:t>。</w:t>
            </w:r>
          </w:p>
        </w:tc>
        <w:tc>
          <w:tcPr>
            <w:tcW w:w="2407" w:type="dxa"/>
            <w:noWrap w:val="0"/>
            <w:vAlign w:val="center"/>
          </w:tcPr>
          <w:p w14:paraId="60109206">
            <w:pPr>
              <w:pStyle w:val="8"/>
              <w:bidi w:val="0"/>
              <w:rPr>
                <w:rFonts w:hint="default"/>
              </w:rPr>
            </w:pPr>
            <w:r>
              <w:rPr>
                <w:rFonts w:hint="default"/>
              </w:rPr>
              <w:t>　</w:t>
            </w:r>
          </w:p>
        </w:tc>
        <w:tc>
          <w:tcPr>
            <w:tcW w:w="1275" w:type="dxa"/>
            <w:vMerge w:val="restart"/>
            <w:noWrap w:val="0"/>
            <w:vAlign w:val="center"/>
          </w:tcPr>
          <w:p w14:paraId="3F55C704">
            <w:pPr>
              <w:pStyle w:val="8"/>
              <w:bidi w:val="0"/>
              <w:rPr>
                <w:rFonts w:hint="default"/>
              </w:rPr>
            </w:pPr>
            <w:r>
              <w:rPr>
                <w:rFonts w:hint="default"/>
                <w:lang w:eastAsia="zh-CN"/>
              </w:rPr>
              <w:t>可选</w:t>
            </w:r>
          </w:p>
        </w:tc>
        <w:tc>
          <w:tcPr>
            <w:tcW w:w="851" w:type="dxa"/>
            <w:noWrap w:val="0"/>
            <w:vAlign w:val="center"/>
          </w:tcPr>
          <w:p w14:paraId="08B88834">
            <w:pPr>
              <w:pStyle w:val="8"/>
              <w:bidi w:val="0"/>
              <w:rPr>
                <w:rFonts w:hint="default"/>
                <w:lang w:val="en-US" w:eastAsia="zh-CN"/>
              </w:rPr>
            </w:pPr>
            <w:r>
              <w:rPr>
                <w:rFonts w:hint="default"/>
                <w:lang w:val="en-US" w:eastAsia="zh-CN"/>
              </w:rPr>
              <w:t>6</w:t>
            </w:r>
          </w:p>
        </w:tc>
        <w:tc>
          <w:tcPr>
            <w:tcW w:w="711" w:type="dxa"/>
            <w:vMerge w:val="continue"/>
            <w:noWrap w:val="0"/>
            <w:vAlign w:val="center"/>
          </w:tcPr>
          <w:p w14:paraId="36F22E2F">
            <w:pPr>
              <w:pStyle w:val="8"/>
              <w:bidi w:val="0"/>
              <w:rPr>
                <w:rFonts w:hint="default"/>
              </w:rPr>
            </w:pPr>
          </w:p>
        </w:tc>
        <w:tc>
          <w:tcPr>
            <w:tcW w:w="770" w:type="dxa"/>
            <w:noWrap w:val="0"/>
            <w:vAlign w:val="center"/>
          </w:tcPr>
          <w:p w14:paraId="7674C71D">
            <w:pPr>
              <w:pStyle w:val="8"/>
              <w:bidi w:val="0"/>
              <w:rPr>
                <w:rFonts w:hint="default"/>
              </w:rPr>
            </w:pPr>
            <w:r>
              <w:rPr>
                <w:rFonts w:hint="default"/>
              </w:rPr>
              <w:t>　</w:t>
            </w:r>
          </w:p>
        </w:tc>
      </w:tr>
      <w:tr w14:paraId="7CAB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FD38EA2">
            <w:pPr>
              <w:pStyle w:val="8"/>
              <w:bidi w:val="0"/>
              <w:rPr>
                <w:rFonts w:hint="default"/>
              </w:rPr>
            </w:pPr>
          </w:p>
        </w:tc>
        <w:tc>
          <w:tcPr>
            <w:tcW w:w="787" w:type="dxa"/>
            <w:vMerge w:val="continue"/>
            <w:noWrap w:val="0"/>
            <w:vAlign w:val="center"/>
          </w:tcPr>
          <w:p w14:paraId="2A9DA350">
            <w:pPr>
              <w:pStyle w:val="8"/>
              <w:bidi w:val="0"/>
              <w:rPr>
                <w:rFonts w:hint="default"/>
              </w:rPr>
            </w:pPr>
          </w:p>
        </w:tc>
        <w:tc>
          <w:tcPr>
            <w:tcW w:w="920" w:type="dxa"/>
            <w:vMerge w:val="continue"/>
            <w:noWrap w:val="0"/>
            <w:vAlign w:val="center"/>
          </w:tcPr>
          <w:p w14:paraId="319AFF76">
            <w:pPr>
              <w:pStyle w:val="8"/>
              <w:bidi w:val="0"/>
              <w:rPr>
                <w:rFonts w:hint="default"/>
              </w:rPr>
            </w:pPr>
          </w:p>
        </w:tc>
        <w:tc>
          <w:tcPr>
            <w:tcW w:w="6392" w:type="dxa"/>
            <w:noWrap w:val="0"/>
            <w:vAlign w:val="center"/>
          </w:tcPr>
          <w:p w14:paraId="1F23834F">
            <w:pPr>
              <w:pStyle w:val="8"/>
              <w:bidi w:val="0"/>
              <w:jc w:val="left"/>
              <w:rPr>
                <w:rFonts w:hint="default"/>
              </w:rPr>
            </w:pPr>
            <w:r>
              <w:rPr>
                <w:rFonts w:hint="default"/>
              </w:rPr>
              <w:t>按照GB/T 32161对生产的产品进行生态设计产品评价，满足绿色产品（生态设计产品）评价要求。</w:t>
            </w:r>
          </w:p>
        </w:tc>
        <w:tc>
          <w:tcPr>
            <w:tcW w:w="2407" w:type="dxa"/>
            <w:noWrap w:val="0"/>
            <w:vAlign w:val="center"/>
          </w:tcPr>
          <w:p w14:paraId="034480BF">
            <w:pPr>
              <w:pStyle w:val="8"/>
              <w:bidi w:val="0"/>
              <w:rPr>
                <w:rFonts w:hint="default"/>
              </w:rPr>
            </w:pPr>
            <w:r>
              <w:rPr>
                <w:rFonts w:hint="default"/>
              </w:rPr>
              <w:t>　</w:t>
            </w:r>
          </w:p>
        </w:tc>
        <w:tc>
          <w:tcPr>
            <w:tcW w:w="1275" w:type="dxa"/>
            <w:vMerge w:val="continue"/>
            <w:noWrap w:val="0"/>
            <w:vAlign w:val="center"/>
          </w:tcPr>
          <w:p w14:paraId="3B918F7C">
            <w:pPr>
              <w:pStyle w:val="8"/>
              <w:bidi w:val="0"/>
              <w:rPr>
                <w:rFonts w:hint="default"/>
              </w:rPr>
            </w:pPr>
          </w:p>
        </w:tc>
        <w:tc>
          <w:tcPr>
            <w:tcW w:w="851" w:type="dxa"/>
            <w:noWrap w:val="0"/>
            <w:vAlign w:val="center"/>
          </w:tcPr>
          <w:p w14:paraId="4EF5A829">
            <w:pPr>
              <w:pStyle w:val="8"/>
              <w:bidi w:val="0"/>
              <w:rPr>
                <w:rFonts w:hint="default"/>
                <w:lang w:val="en-US" w:eastAsia="zh-CN"/>
              </w:rPr>
            </w:pPr>
            <w:r>
              <w:rPr>
                <w:rFonts w:hint="default"/>
                <w:lang w:val="en-US" w:eastAsia="zh-CN"/>
              </w:rPr>
              <w:t>4</w:t>
            </w:r>
          </w:p>
        </w:tc>
        <w:tc>
          <w:tcPr>
            <w:tcW w:w="711" w:type="dxa"/>
            <w:vMerge w:val="continue"/>
            <w:noWrap w:val="0"/>
            <w:vAlign w:val="center"/>
          </w:tcPr>
          <w:p w14:paraId="6481CC1F">
            <w:pPr>
              <w:pStyle w:val="8"/>
              <w:bidi w:val="0"/>
              <w:rPr>
                <w:rFonts w:hint="default"/>
              </w:rPr>
            </w:pPr>
          </w:p>
        </w:tc>
        <w:tc>
          <w:tcPr>
            <w:tcW w:w="770" w:type="dxa"/>
            <w:noWrap w:val="0"/>
            <w:vAlign w:val="center"/>
          </w:tcPr>
          <w:p w14:paraId="5F983D93">
            <w:pPr>
              <w:pStyle w:val="8"/>
              <w:bidi w:val="0"/>
              <w:rPr>
                <w:rFonts w:hint="default"/>
              </w:rPr>
            </w:pPr>
            <w:r>
              <w:rPr>
                <w:rFonts w:hint="default"/>
              </w:rPr>
              <w:t>　</w:t>
            </w:r>
          </w:p>
        </w:tc>
      </w:tr>
      <w:tr w14:paraId="67FA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1B2ABD00">
            <w:pPr>
              <w:pStyle w:val="8"/>
              <w:bidi w:val="0"/>
              <w:rPr>
                <w:rFonts w:hint="default"/>
              </w:rPr>
            </w:pPr>
          </w:p>
        </w:tc>
        <w:tc>
          <w:tcPr>
            <w:tcW w:w="787" w:type="dxa"/>
            <w:vMerge w:val="continue"/>
            <w:noWrap w:val="0"/>
            <w:vAlign w:val="center"/>
          </w:tcPr>
          <w:p w14:paraId="29B9D4F8">
            <w:pPr>
              <w:pStyle w:val="8"/>
              <w:bidi w:val="0"/>
              <w:rPr>
                <w:rFonts w:hint="default"/>
              </w:rPr>
            </w:pPr>
          </w:p>
        </w:tc>
        <w:tc>
          <w:tcPr>
            <w:tcW w:w="920" w:type="dxa"/>
            <w:vMerge w:val="restart"/>
            <w:noWrap w:val="0"/>
            <w:vAlign w:val="center"/>
          </w:tcPr>
          <w:p w14:paraId="7756FFA6">
            <w:pPr>
              <w:pStyle w:val="8"/>
              <w:bidi w:val="0"/>
              <w:rPr>
                <w:rFonts w:hint="default"/>
                <w:lang w:eastAsia="zh-CN"/>
              </w:rPr>
            </w:pPr>
            <w:r>
              <w:rPr>
                <w:rFonts w:hint="default"/>
                <w:lang w:eastAsia="zh-CN"/>
              </w:rPr>
              <w:t>有害物质使用</w:t>
            </w:r>
          </w:p>
        </w:tc>
        <w:tc>
          <w:tcPr>
            <w:tcW w:w="6392" w:type="dxa"/>
            <w:noWrap w:val="0"/>
            <w:vAlign w:val="center"/>
          </w:tcPr>
          <w:p w14:paraId="50E2AE41">
            <w:pPr>
              <w:pStyle w:val="8"/>
              <w:bidi w:val="0"/>
              <w:jc w:val="left"/>
              <w:rPr>
                <w:rFonts w:hint="default"/>
              </w:rPr>
            </w:pPr>
            <w:r>
              <w:rPr>
                <w:rFonts w:hint="default"/>
              </w:rPr>
              <w:t>工厂生产的产品</w:t>
            </w:r>
            <w:r>
              <w:rPr>
                <w:rFonts w:hint="default"/>
                <w:lang w:eastAsia="zh-CN"/>
              </w:rPr>
              <w:t>（包括原料和辅料）</w:t>
            </w:r>
            <w:r>
              <w:rPr>
                <w:rFonts w:hint="default"/>
              </w:rPr>
              <w:t>应减少有害物质的使用，避免有害物质的泄露，满足国家对产品中有害物质限制使用的要求。</w:t>
            </w:r>
          </w:p>
        </w:tc>
        <w:tc>
          <w:tcPr>
            <w:tcW w:w="2407" w:type="dxa"/>
            <w:noWrap w:val="0"/>
            <w:vAlign w:val="center"/>
          </w:tcPr>
          <w:p w14:paraId="1985B5B8">
            <w:pPr>
              <w:pStyle w:val="8"/>
              <w:bidi w:val="0"/>
              <w:rPr>
                <w:rFonts w:hint="default"/>
              </w:rPr>
            </w:pPr>
            <w:r>
              <w:rPr>
                <w:rFonts w:hint="default"/>
              </w:rPr>
              <w:t>　</w:t>
            </w:r>
          </w:p>
        </w:tc>
        <w:tc>
          <w:tcPr>
            <w:tcW w:w="1275" w:type="dxa"/>
            <w:noWrap w:val="0"/>
            <w:vAlign w:val="center"/>
          </w:tcPr>
          <w:p w14:paraId="13473548">
            <w:pPr>
              <w:pStyle w:val="8"/>
              <w:bidi w:val="0"/>
              <w:rPr>
                <w:rFonts w:hint="default"/>
                <w:lang w:eastAsia="zh-CN"/>
              </w:rPr>
            </w:pPr>
            <w:r>
              <w:rPr>
                <w:rFonts w:hint="default"/>
                <w:lang w:eastAsia="zh-CN"/>
              </w:rPr>
              <w:t>必选</w:t>
            </w:r>
          </w:p>
        </w:tc>
        <w:tc>
          <w:tcPr>
            <w:tcW w:w="851" w:type="dxa"/>
            <w:noWrap w:val="0"/>
            <w:vAlign w:val="center"/>
          </w:tcPr>
          <w:p w14:paraId="433756C4">
            <w:pPr>
              <w:pStyle w:val="8"/>
              <w:bidi w:val="0"/>
              <w:rPr>
                <w:rFonts w:hint="default"/>
                <w:lang w:val="en-US" w:eastAsia="zh-CN"/>
              </w:rPr>
            </w:pPr>
            <w:r>
              <w:rPr>
                <w:rFonts w:hint="default"/>
                <w:lang w:val="en-US" w:eastAsia="zh-CN"/>
              </w:rPr>
              <w:t>15</w:t>
            </w:r>
          </w:p>
        </w:tc>
        <w:tc>
          <w:tcPr>
            <w:tcW w:w="711" w:type="dxa"/>
            <w:vMerge w:val="continue"/>
            <w:noWrap w:val="0"/>
            <w:vAlign w:val="center"/>
          </w:tcPr>
          <w:p w14:paraId="21B92D48">
            <w:pPr>
              <w:pStyle w:val="8"/>
              <w:bidi w:val="0"/>
              <w:rPr>
                <w:rFonts w:hint="default"/>
              </w:rPr>
            </w:pPr>
          </w:p>
        </w:tc>
        <w:tc>
          <w:tcPr>
            <w:tcW w:w="770" w:type="dxa"/>
            <w:noWrap w:val="0"/>
            <w:vAlign w:val="center"/>
          </w:tcPr>
          <w:p w14:paraId="120851B3">
            <w:pPr>
              <w:pStyle w:val="8"/>
              <w:bidi w:val="0"/>
              <w:rPr>
                <w:rFonts w:hint="default"/>
              </w:rPr>
            </w:pPr>
            <w:r>
              <w:rPr>
                <w:rFonts w:hint="default"/>
              </w:rPr>
              <w:t>　</w:t>
            </w:r>
          </w:p>
        </w:tc>
      </w:tr>
      <w:tr w14:paraId="2A27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6753C5B">
            <w:pPr>
              <w:pStyle w:val="8"/>
              <w:bidi w:val="0"/>
              <w:rPr>
                <w:rFonts w:hint="default"/>
              </w:rPr>
            </w:pPr>
          </w:p>
        </w:tc>
        <w:tc>
          <w:tcPr>
            <w:tcW w:w="787" w:type="dxa"/>
            <w:vMerge w:val="continue"/>
            <w:noWrap w:val="0"/>
            <w:vAlign w:val="center"/>
          </w:tcPr>
          <w:p w14:paraId="60E1117D">
            <w:pPr>
              <w:pStyle w:val="8"/>
              <w:bidi w:val="0"/>
              <w:rPr>
                <w:rFonts w:hint="default"/>
              </w:rPr>
            </w:pPr>
          </w:p>
        </w:tc>
        <w:tc>
          <w:tcPr>
            <w:tcW w:w="920" w:type="dxa"/>
            <w:vMerge w:val="continue"/>
            <w:noWrap w:val="0"/>
            <w:vAlign w:val="center"/>
          </w:tcPr>
          <w:p w14:paraId="6297B7E4">
            <w:pPr>
              <w:pStyle w:val="8"/>
              <w:bidi w:val="0"/>
              <w:rPr>
                <w:rFonts w:hint="default"/>
              </w:rPr>
            </w:pPr>
          </w:p>
        </w:tc>
        <w:tc>
          <w:tcPr>
            <w:tcW w:w="6392" w:type="dxa"/>
            <w:noWrap w:val="0"/>
            <w:vAlign w:val="center"/>
          </w:tcPr>
          <w:p w14:paraId="032CDF02">
            <w:pPr>
              <w:pStyle w:val="8"/>
              <w:bidi w:val="0"/>
              <w:jc w:val="left"/>
              <w:rPr>
                <w:rFonts w:hint="default"/>
              </w:rPr>
            </w:pPr>
            <w:r>
              <w:rPr>
                <w:rFonts w:hint="default"/>
              </w:rPr>
              <w:t>实现有害物质替代</w:t>
            </w:r>
            <w:r>
              <w:rPr>
                <w:rFonts w:hint="default"/>
                <w:lang w:eastAsia="zh-CN"/>
              </w:rPr>
              <w:t>。</w:t>
            </w:r>
          </w:p>
        </w:tc>
        <w:tc>
          <w:tcPr>
            <w:tcW w:w="2407" w:type="dxa"/>
            <w:noWrap w:val="0"/>
            <w:vAlign w:val="center"/>
          </w:tcPr>
          <w:p w14:paraId="35236FA2">
            <w:pPr>
              <w:pStyle w:val="8"/>
              <w:bidi w:val="0"/>
              <w:rPr>
                <w:rFonts w:hint="default"/>
              </w:rPr>
            </w:pPr>
            <w:r>
              <w:rPr>
                <w:rFonts w:hint="default"/>
              </w:rPr>
              <w:t>　</w:t>
            </w:r>
          </w:p>
        </w:tc>
        <w:tc>
          <w:tcPr>
            <w:tcW w:w="1275" w:type="dxa"/>
            <w:noWrap w:val="0"/>
            <w:vAlign w:val="center"/>
          </w:tcPr>
          <w:p w14:paraId="6F5A5DD6">
            <w:pPr>
              <w:pStyle w:val="8"/>
              <w:bidi w:val="0"/>
              <w:rPr>
                <w:rFonts w:hint="default"/>
                <w:lang w:eastAsia="zh-CN"/>
              </w:rPr>
            </w:pPr>
            <w:r>
              <w:rPr>
                <w:rFonts w:hint="default"/>
                <w:lang w:eastAsia="zh-CN"/>
              </w:rPr>
              <w:t>可选</w:t>
            </w:r>
          </w:p>
        </w:tc>
        <w:tc>
          <w:tcPr>
            <w:tcW w:w="851" w:type="dxa"/>
            <w:noWrap w:val="0"/>
            <w:vAlign w:val="center"/>
          </w:tcPr>
          <w:p w14:paraId="38D64A90">
            <w:pPr>
              <w:pStyle w:val="8"/>
              <w:bidi w:val="0"/>
              <w:rPr>
                <w:rFonts w:hint="default"/>
                <w:lang w:val="en-US" w:eastAsia="zh-CN"/>
              </w:rPr>
            </w:pPr>
            <w:r>
              <w:rPr>
                <w:rFonts w:hint="default"/>
                <w:lang w:val="en-US" w:eastAsia="zh-CN"/>
              </w:rPr>
              <w:t>4</w:t>
            </w:r>
          </w:p>
        </w:tc>
        <w:tc>
          <w:tcPr>
            <w:tcW w:w="711" w:type="dxa"/>
            <w:vMerge w:val="continue"/>
            <w:noWrap w:val="0"/>
            <w:vAlign w:val="center"/>
          </w:tcPr>
          <w:p w14:paraId="4C3ACC4B">
            <w:pPr>
              <w:pStyle w:val="8"/>
              <w:bidi w:val="0"/>
              <w:rPr>
                <w:rFonts w:hint="default"/>
              </w:rPr>
            </w:pPr>
          </w:p>
        </w:tc>
        <w:tc>
          <w:tcPr>
            <w:tcW w:w="770" w:type="dxa"/>
            <w:noWrap w:val="0"/>
            <w:vAlign w:val="center"/>
          </w:tcPr>
          <w:p w14:paraId="732D5AA0">
            <w:pPr>
              <w:pStyle w:val="8"/>
              <w:bidi w:val="0"/>
              <w:rPr>
                <w:rFonts w:hint="default"/>
              </w:rPr>
            </w:pPr>
            <w:r>
              <w:rPr>
                <w:rFonts w:hint="default"/>
              </w:rPr>
              <w:t>　</w:t>
            </w:r>
          </w:p>
        </w:tc>
      </w:tr>
      <w:tr w14:paraId="656A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52F5124B">
            <w:pPr>
              <w:pStyle w:val="8"/>
              <w:bidi w:val="0"/>
              <w:rPr>
                <w:rFonts w:hint="default"/>
              </w:rPr>
            </w:pPr>
          </w:p>
        </w:tc>
        <w:tc>
          <w:tcPr>
            <w:tcW w:w="787" w:type="dxa"/>
            <w:vMerge w:val="continue"/>
            <w:noWrap w:val="0"/>
            <w:vAlign w:val="center"/>
          </w:tcPr>
          <w:p w14:paraId="7ADF6F81">
            <w:pPr>
              <w:pStyle w:val="8"/>
              <w:bidi w:val="0"/>
              <w:rPr>
                <w:rFonts w:hint="default"/>
              </w:rPr>
            </w:pPr>
          </w:p>
        </w:tc>
        <w:tc>
          <w:tcPr>
            <w:tcW w:w="920" w:type="dxa"/>
            <w:vMerge w:val="restart"/>
            <w:noWrap w:val="0"/>
            <w:vAlign w:val="center"/>
          </w:tcPr>
          <w:p w14:paraId="31B84E12">
            <w:pPr>
              <w:pStyle w:val="8"/>
              <w:bidi w:val="0"/>
              <w:rPr>
                <w:rFonts w:hint="default"/>
              </w:rPr>
            </w:pPr>
            <w:r>
              <w:rPr>
                <w:rFonts w:hint="default"/>
              </w:rPr>
              <w:t>节能</w:t>
            </w:r>
          </w:p>
        </w:tc>
        <w:tc>
          <w:tcPr>
            <w:tcW w:w="6392" w:type="dxa"/>
            <w:noWrap w:val="0"/>
            <w:vAlign w:val="center"/>
          </w:tcPr>
          <w:p w14:paraId="065D5E66">
            <w:pPr>
              <w:pStyle w:val="8"/>
              <w:bidi w:val="0"/>
              <w:jc w:val="left"/>
              <w:rPr>
                <w:rFonts w:hint="default"/>
              </w:rPr>
            </w:pPr>
            <w:r>
              <w:rPr>
                <w:rFonts w:hint="default"/>
              </w:rPr>
              <w:t>工厂生产的产品若为用能产品或在使用过程中对最终产品/构造的能耗有影响的产品，适用时，应满足相关标准的限定值要求</w:t>
            </w:r>
            <w:r>
              <w:rPr>
                <w:rFonts w:hint="default"/>
                <w:lang w:eastAsia="zh-CN"/>
              </w:rPr>
              <w:t>。</w:t>
            </w:r>
            <w:r>
              <w:rPr>
                <w:rFonts w:hint="default"/>
              </w:rPr>
              <w:t>未制定标准的，产品能效应不低于行业平均值。</w:t>
            </w:r>
          </w:p>
        </w:tc>
        <w:tc>
          <w:tcPr>
            <w:tcW w:w="2407" w:type="dxa"/>
            <w:noWrap w:val="0"/>
            <w:vAlign w:val="center"/>
          </w:tcPr>
          <w:p w14:paraId="426DE10B">
            <w:pPr>
              <w:pStyle w:val="8"/>
              <w:bidi w:val="0"/>
              <w:rPr>
                <w:rFonts w:hint="default"/>
              </w:rPr>
            </w:pPr>
            <w:r>
              <w:rPr>
                <w:rFonts w:hint="default"/>
              </w:rPr>
              <w:t>　</w:t>
            </w:r>
          </w:p>
        </w:tc>
        <w:tc>
          <w:tcPr>
            <w:tcW w:w="1275" w:type="dxa"/>
            <w:noWrap w:val="0"/>
            <w:vAlign w:val="center"/>
          </w:tcPr>
          <w:p w14:paraId="05EA452E">
            <w:pPr>
              <w:pStyle w:val="8"/>
              <w:bidi w:val="0"/>
              <w:rPr>
                <w:rFonts w:hint="default"/>
              </w:rPr>
            </w:pPr>
            <w:r>
              <w:rPr>
                <w:rFonts w:hint="default"/>
                <w:lang w:eastAsia="zh-CN"/>
              </w:rPr>
              <w:t>必选</w:t>
            </w:r>
            <w:r>
              <w:rPr>
                <w:rFonts w:hint="default"/>
              </w:rPr>
              <w:t>（适用时）</w:t>
            </w:r>
          </w:p>
        </w:tc>
        <w:tc>
          <w:tcPr>
            <w:tcW w:w="851" w:type="dxa"/>
            <w:noWrap w:val="0"/>
            <w:vAlign w:val="center"/>
          </w:tcPr>
          <w:p w14:paraId="4A897677">
            <w:pPr>
              <w:pStyle w:val="8"/>
              <w:bidi w:val="0"/>
              <w:rPr>
                <w:rFonts w:hint="default"/>
                <w:lang w:val="en-US" w:eastAsia="zh-CN"/>
              </w:rPr>
            </w:pPr>
            <w:r>
              <w:rPr>
                <w:rFonts w:hint="default"/>
                <w:lang w:val="en-US" w:eastAsia="zh-CN"/>
              </w:rPr>
              <w:t>15</w:t>
            </w:r>
          </w:p>
        </w:tc>
        <w:tc>
          <w:tcPr>
            <w:tcW w:w="711" w:type="dxa"/>
            <w:vMerge w:val="continue"/>
            <w:noWrap w:val="0"/>
            <w:vAlign w:val="center"/>
          </w:tcPr>
          <w:p w14:paraId="7C11A3E7">
            <w:pPr>
              <w:pStyle w:val="8"/>
              <w:bidi w:val="0"/>
              <w:rPr>
                <w:rFonts w:hint="default"/>
              </w:rPr>
            </w:pPr>
          </w:p>
        </w:tc>
        <w:tc>
          <w:tcPr>
            <w:tcW w:w="770" w:type="dxa"/>
            <w:noWrap w:val="0"/>
            <w:vAlign w:val="center"/>
          </w:tcPr>
          <w:p w14:paraId="48146D27">
            <w:pPr>
              <w:pStyle w:val="8"/>
              <w:bidi w:val="0"/>
              <w:rPr>
                <w:rFonts w:hint="default"/>
              </w:rPr>
            </w:pPr>
            <w:r>
              <w:rPr>
                <w:rFonts w:hint="default"/>
              </w:rPr>
              <w:t>　</w:t>
            </w:r>
          </w:p>
        </w:tc>
      </w:tr>
      <w:tr w14:paraId="41DE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4E0F37C6">
            <w:pPr>
              <w:pStyle w:val="8"/>
              <w:bidi w:val="0"/>
              <w:rPr>
                <w:rFonts w:hint="default"/>
              </w:rPr>
            </w:pPr>
          </w:p>
        </w:tc>
        <w:tc>
          <w:tcPr>
            <w:tcW w:w="787" w:type="dxa"/>
            <w:vMerge w:val="continue"/>
            <w:noWrap w:val="0"/>
            <w:vAlign w:val="center"/>
          </w:tcPr>
          <w:p w14:paraId="47A549F0">
            <w:pPr>
              <w:pStyle w:val="8"/>
              <w:bidi w:val="0"/>
              <w:rPr>
                <w:rFonts w:hint="default"/>
              </w:rPr>
            </w:pPr>
          </w:p>
        </w:tc>
        <w:tc>
          <w:tcPr>
            <w:tcW w:w="920" w:type="dxa"/>
            <w:vMerge w:val="continue"/>
            <w:noWrap w:val="0"/>
            <w:vAlign w:val="center"/>
          </w:tcPr>
          <w:p w14:paraId="6B5A52E5">
            <w:pPr>
              <w:pStyle w:val="8"/>
              <w:bidi w:val="0"/>
              <w:rPr>
                <w:rFonts w:hint="default"/>
              </w:rPr>
            </w:pPr>
          </w:p>
        </w:tc>
        <w:tc>
          <w:tcPr>
            <w:tcW w:w="6392" w:type="dxa"/>
            <w:noWrap w:val="0"/>
            <w:vAlign w:val="center"/>
          </w:tcPr>
          <w:p w14:paraId="3C9C52D4">
            <w:pPr>
              <w:pStyle w:val="8"/>
              <w:bidi w:val="0"/>
              <w:jc w:val="left"/>
              <w:rPr>
                <w:rFonts w:hint="default"/>
              </w:rPr>
            </w:pPr>
            <w:r>
              <w:rPr>
                <w:rFonts w:hint="default"/>
              </w:rPr>
              <w:t>达到</w:t>
            </w:r>
            <w:r>
              <w:rPr>
                <w:rFonts w:hint="default"/>
                <w:lang w:eastAsia="zh-CN"/>
              </w:rPr>
              <w:t>相关</w:t>
            </w:r>
            <w:r>
              <w:rPr>
                <w:rFonts w:hint="default"/>
              </w:rPr>
              <w:t>标准中的</w:t>
            </w:r>
            <w:r>
              <w:rPr>
                <w:rFonts w:hint="default"/>
                <w:lang w:eastAsia="zh-CN"/>
              </w:rPr>
              <w:t>节能评价值</w:t>
            </w:r>
            <w:r>
              <w:rPr>
                <w:rFonts w:hint="default"/>
                <w:lang w:val="en-US" w:eastAsia="zh-CN"/>
              </w:rPr>
              <w:t>/</w:t>
            </w:r>
            <w:r>
              <w:rPr>
                <w:rFonts w:hint="default"/>
                <w:lang w:eastAsia="zh-CN"/>
              </w:rPr>
              <w:t>先进</w:t>
            </w:r>
            <w:r>
              <w:rPr>
                <w:rFonts w:hint="default"/>
              </w:rPr>
              <w:t>值要求，未制定标准的，产品能效达到行业前20%的水平</w:t>
            </w:r>
            <w:r>
              <w:rPr>
                <w:rFonts w:hint="default"/>
                <w:lang w:eastAsia="zh-CN"/>
              </w:rPr>
              <w:t>，前</w:t>
            </w:r>
            <w:r>
              <w:rPr>
                <w:rFonts w:hint="default"/>
                <w:lang w:val="en-US" w:eastAsia="zh-CN"/>
              </w:rPr>
              <w:t>5%为满分</w:t>
            </w:r>
            <w:r>
              <w:rPr>
                <w:rFonts w:hint="default"/>
              </w:rPr>
              <w:t>。</w:t>
            </w:r>
          </w:p>
        </w:tc>
        <w:tc>
          <w:tcPr>
            <w:tcW w:w="2407" w:type="dxa"/>
            <w:noWrap w:val="0"/>
            <w:vAlign w:val="center"/>
          </w:tcPr>
          <w:p w14:paraId="71D07DC7">
            <w:pPr>
              <w:pStyle w:val="8"/>
              <w:bidi w:val="0"/>
              <w:rPr>
                <w:rFonts w:hint="default"/>
              </w:rPr>
            </w:pPr>
            <w:r>
              <w:rPr>
                <w:rFonts w:hint="default"/>
              </w:rPr>
              <w:t>　</w:t>
            </w:r>
          </w:p>
        </w:tc>
        <w:tc>
          <w:tcPr>
            <w:tcW w:w="1275" w:type="dxa"/>
            <w:noWrap w:val="0"/>
            <w:vAlign w:val="center"/>
          </w:tcPr>
          <w:p w14:paraId="6190E367">
            <w:pPr>
              <w:pStyle w:val="8"/>
              <w:bidi w:val="0"/>
              <w:rPr>
                <w:rFonts w:hint="default"/>
              </w:rPr>
            </w:pPr>
            <w:r>
              <w:rPr>
                <w:rFonts w:hint="default"/>
                <w:lang w:eastAsia="zh-CN"/>
              </w:rPr>
              <w:t>可选</w:t>
            </w:r>
            <w:r>
              <w:rPr>
                <w:rFonts w:hint="default"/>
              </w:rPr>
              <w:t>（适用时）</w:t>
            </w:r>
          </w:p>
        </w:tc>
        <w:tc>
          <w:tcPr>
            <w:tcW w:w="851" w:type="dxa"/>
            <w:noWrap w:val="0"/>
            <w:vAlign w:val="center"/>
          </w:tcPr>
          <w:p w14:paraId="2480246A">
            <w:pPr>
              <w:pStyle w:val="8"/>
              <w:bidi w:val="0"/>
              <w:rPr>
                <w:rFonts w:hint="default"/>
                <w:lang w:val="en-US" w:eastAsia="zh-CN"/>
              </w:rPr>
            </w:pPr>
            <w:r>
              <w:rPr>
                <w:rFonts w:hint="default"/>
                <w:lang w:val="en-US" w:eastAsia="zh-CN"/>
              </w:rPr>
              <w:t>6</w:t>
            </w:r>
          </w:p>
        </w:tc>
        <w:tc>
          <w:tcPr>
            <w:tcW w:w="711" w:type="dxa"/>
            <w:vMerge w:val="continue"/>
            <w:noWrap w:val="0"/>
            <w:vAlign w:val="center"/>
          </w:tcPr>
          <w:p w14:paraId="694B6179">
            <w:pPr>
              <w:pStyle w:val="8"/>
              <w:bidi w:val="0"/>
              <w:rPr>
                <w:rFonts w:hint="default"/>
              </w:rPr>
            </w:pPr>
          </w:p>
        </w:tc>
        <w:tc>
          <w:tcPr>
            <w:tcW w:w="770" w:type="dxa"/>
            <w:noWrap w:val="0"/>
            <w:vAlign w:val="center"/>
          </w:tcPr>
          <w:p w14:paraId="5D122F26">
            <w:pPr>
              <w:pStyle w:val="8"/>
              <w:bidi w:val="0"/>
              <w:rPr>
                <w:rFonts w:hint="default"/>
              </w:rPr>
            </w:pPr>
            <w:r>
              <w:rPr>
                <w:rFonts w:hint="default"/>
              </w:rPr>
              <w:t>　</w:t>
            </w:r>
          </w:p>
        </w:tc>
      </w:tr>
      <w:tr w14:paraId="5ADF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D898DE7">
            <w:pPr>
              <w:pStyle w:val="8"/>
              <w:bidi w:val="0"/>
              <w:rPr>
                <w:rFonts w:hint="default"/>
              </w:rPr>
            </w:pPr>
          </w:p>
        </w:tc>
        <w:tc>
          <w:tcPr>
            <w:tcW w:w="787" w:type="dxa"/>
            <w:vMerge w:val="continue"/>
            <w:noWrap w:val="0"/>
            <w:vAlign w:val="center"/>
          </w:tcPr>
          <w:p w14:paraId="7737B3F8">
            <w:pPr>
              <w:pStyle w:val="8"/>
              <w:bidi w:val="0"/>
              <w:rPr>
                <w:rFonts w:hint="default"/>
              </w:rPr>
            </w:pPr>
          </w:p>
        </w:tc>
        <w:tc>
          <w:tcPr>
            <w:tcW w:w="920" w:type="dxa"/>
            <w:vMerge w:val="restart"/>
            <w:noWrap w:val="0"/>
            <w:vAlign w:val="center"/>
          </w:tcPr>
          <w:p w14:paraId="22344A32">
            <w:pPr>
              <w:pStyle w:val="8"/>
              <w:bidi w:val="0"/>
              <w:rPr>
                <w:rFonts w:hint="default"/>
              </w:rPr>
            </w:pPr>
            <w:r>
              <w:rPr>
                <w:rFonts w:hint="default"/>
                <w:lang w:eastAsia="zh-CN"/>
              </w:rPr>
              <w:t>减碳</w:t>
            </w:r>
          </w:p>
        </w:tc>
        <w:tc>
          <w:tcPr>
            <w:tcW w:w="6392" w:type="dxa"/>
            <w:noWrap w:val="0"/>
            <w:vAlign w:val="center"/>
          </w:tcPr>
          <w:p w14:paraId="61E90606">
            <w:pPr>
              <w:pStyle w:val="8"/>
              <w:bidi w:val="0"/>
              <w:jc w:val="left"/>
              <w:rPr>
                <w:rFonts w:hint="default"/>
              </w:rPr>
            </w:pPr>
            <w:r>
              <w:rPr>
                <w:rFonts w:hint="default"/>
              </w:rPr>
              <w:t>采用适用的标准或规范对产品进行碳足迹核算或核查。</w:t>
            </w:r>
          </w:p>
        </w:tc>
        <w:tc>
          <w:tcPr>
            <w:tcW w:w="2407" w:type="dxa"/>
            <w:noWrap w:val="0"/>
            <w:vAlign w:val="center"/>
          </w:tcPr>
          <w:p w14:paraId="571C693A">
            <w:pPr>
              <w:pStyle w:val="8"/>
              <w:bidi w:val="0"/>
              <w:rPr>
                <w:rFonts w:hint="default"/>
              </w:rPr>
            </w:pPr>
            <w:r>
              <w:rPr>
                <w:rFonts w:hint="default"/>
              </w:rPr>
              <w:t>　</w:t>
            </w:r>
          </w:p>
        </w:tc>
        <w:tc>
          <w:tcPr>
            <w:tcW w:w="1275" w:type="dxa"/>
            <w:vMerge w:val="restart"/>
            <w:noWrap w:val="0"/>
            <w:vAlign w:val="center"/>
          </w:tcPr>
          <w:p w14:paraId="55B02D2F">
            <w:pPr>
              <w:pStyle w:val="8"/>
              <w:bidi w:val="0"/>
              <w:rPr>
                <w:rFonts w:hint="default"/>
              </w:rPr>
            </w:pPr>
            <w:r>
              <w:rPr>
                <w:rFonts w:hint="default"/>
                <w:lang w:eastAsia="zh-CN"/>
              </w:rPr>
              <w:t>可选</w:t>
            </w:r>
          </w:p>
        </w:tc>
        <w:tc>
          <w:tcPr>
            <w:tcW w:w="851" w:type="dxa"/>
            <w:noWrap w:val="0"/>
            <w:vAlign w:val="center"/>
          </w:tcPr>
          <w:p w14:paraId="25050C36">
            <w:pPr>
              <w:pStyle w:val="8"/>
              <w:bidi w:val="0"/>
              <w:rPr>
                <w:rFonts w:hint="default"/>
                <w:lang w:val="en-US" w:eastAsia="zh-CN"/>
              </w:rPr>
            </w:pPr>
            <w:r>
              <w:rPr>
                <w:rFonts w:hint="default"/>
                <w:lang w:val="en-US" w:eastAsia="zh-CN"/>
              </w:rPr>
              <w:t>6</w:t>
            </w:r>
          </w:p>
        </w:tc>
        <w:tc>
          <w:tcPr>
            <w:tcW w:w="711" w:type="dxa"/>
            <w:vMerge w:val="continue"/>
            <w:noWrap w:val="0"/>
            <w:vAlign w:val="center"/>
          </w:tcPr>
          <w:p w14:paraId="4F01E762">
            <w:pPr>
              <w:pStyle w:val="8"/>
              <w:bidi w:val="0"/>
              <w:rPr>
                <w:rFonts w:hint="default"/>
              </w:rPr>
            </w:pPr>
          </w:p>
        </w:tc>
        <w:tc>
          <w:tcPr>
            <w:tcW w:w="770" w:type="dxa"/>
            <w:noWrap w:val="0"/>
            <w:vAlign w:val="center"/>
          </w:tcPr>
          <w:p w14:paraId="4B05E6D5">
            <w:pPr>
              <w:pStyle w:val="8"/>
              <w:bidi w:val="0"/>
              <w:rPr>
                <w:rFonts w:hint="default"/>
              </w:rPr>
            </w:pPr>
            <w:r>
              <w:rPr>
                <w:rFonts w:hint="default"/>
              </w:rPr>
              <w:t>　</w:t>
            </w:r>
          </w:p>
        </w:tc>
      </w:tr>
      <w:tr w14:paraId="3B6D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A25F5BC">
            <w:pPr>
              <w:pStyle w:val="8"/>
              <w:bidi w:val="0"/>
              <w:rPr>
                <w:rFonts w:hint="default"/>
              </w:rPr>
            </w:pPr>
          </w:p>
        </w:tc>
        <w:tc>
          <w:tcPr>
            <w:tcW w:w="787" w:type="dxa"/>
            <w:vMerge w:val="continue"/>
            <w:noWrap w:val="0"/>
            <w:vAlign w:val="center"/>
          </w:tcPr>
          <w:p w14:paraId="60994D6E">
            <w:pPr>
              <w:pStyle w:val="8"/>
              <w:bidi w:val="0"/>
              <w:rPr>
                <w:rFonts w:hint="default"/>
              </w:rPr>
            </w:pPr>
          </w:p>
        </w:tc>
        <w:tc>
          <w:tcPr>
            <w:tcW w:w="920" w:type="dxa"/>
            <w:vMerge w:val="continue"/>
            <w:noWrap w:val="0"/>
            <w:vAlign w:val="center"/>
          </w:tcPr>
          <w:p w14:paraId="6ED7B2D9">
            <w:pPr>
              <w:pStyle w:val="8"/>
              <w:bidi w:val="0"/>
              <w:rPr>
                <w:rFonts w:hint="default"/>
              </w:rPr>
            </w:pPr>
          </w:p>
        </w:tc>
        <w:tc>
          <w:tcPr>
            <w:tcW w:w="6392" w:type="dxa"/>
            <w:noWrap w:val="0"/>
            <w:vAlign w:val="center"/>
          </w:tcPr>
          <w:p w14:paraId="44C1AB8F">
            <w:pPr>
              <w:pStyle w:val="8"/>
              <w:bidi w:val="0"/>
              <w:jc w:val="left"/>
              <w:rPr>
                <w:rFonts w:hint="default"/>
              </w:rPr>
            </w:pPr>
            <w:r>
              <w:rPr>
                <w:rFonts w:hint="default"/>
              </w:rPr>
              <w:t>利用核算或核查结果对其产品的碳足迹进行改善。</w:t>
            </w:r>
            <w:r>
              <w:rPr>
                <w:rFonts w:hint="default"/>
                <w:lang w:eastAsia="zh-CN"/>
              </w:rPr>
              <w:t>核算</w:t>
            </w:r>
            <w:r>
              <w:rPr>
                <w:rFonts w:hint="default"/>
              </w:rPr>
              <w:t>或核查结果对外公布。</w:t>
            </w:r>
          </w:p>
        </w:tc>
        <w:tc>
          <w:tcPr>
            <w:tcW w:w="2407" w:type="dxa"/>
            <w:noWrap w:val="0"/>
            <w:vAlign w:val="center"/>
          </w:tcPr>
          <w:p w14:paraId="70527F35">
            <w:pPr>
              <w:pStyle w:val="8"/>
              <w:bidi w:val="0"/>
              <w:rPr>
                <w:rFonts w:hint="default"/>
              </w:rPr>
            </w:pPr>
            <w:r>
              <w:rPr>
                <w:rFonts w:hint="default"/>
              </w:rPr>
              <w:t>　</w:t>
            </w:r>
          </w:p>
        </w:tc>
        <w:tc>
          <w:tcPr>
            <w:tcW w:w="1275" w:type="dxa"/>
            <w:vMerge w:val="continue"/>
            <w:noWrap w:val="0"/>
            <w:vAlign w:val="center"/>
          </w:tcPr>
          <w:p w14:paraId="0EDB4385">
            <w:pPr>
              <w:pStyle w:val="8"/>
              <w:bidi w:val="0"/>
              <w:rPr>
                <w:rFonts w:hint="default"/>
              </w:rPr>
            </w:pPr>
          </w:p>
        </w:tc>
        <w:tc>
          <w:tcPr>
            <w:tcW w:w="851" w:type="dxa"/>
            <w:noWrap w:val="0"/>
            <w:vAlign w:val="center"/>
          </w:tcPr>
          <w:p w14:paraId="71F4F413">
            <w:pPr>
              <w:pStyle w:val="8"/>
              <w:bidi w:val="0"/>
              <w:rPr>
                <w:rFonts w:hint="default"/>
                <w:lang w:val="en-US" w:eastAsia="zh-CN"/>
              </w:rPr>
            </w:pPr>
            <w:r>
              <w:rPr>
                <w:rFonts w:hint="default"/>
                <w:lang w:val="en-US" w:eastAsia="zh-CN"/>
              </w:rPr>
              <w:t>3</w:t>
            </w:r>
          </w:p>
        </w:tc>
        <w:tc>
          <w:tcPr>
            <w:tcW w:w="711" w:type="dxa"/>
            <w:vMerge w:val="continue"/>
            <w:noWrap w:val="0"/>
            <w:vAlign w:val="center"/>
          </w:tcPr>
          <w:p w14:paraId="12BFC6F4">
            <w:pPr>
              <w:pStyle w:val="8"/>
              <w:bidi w:val="0"/>
              <w:rPr>
                <w:rFonts w:hint="default"/>
              </w:rPr>
            </w:pPr>
          </w:p>
        </w:tc>
        <w:tc>
          <w:tcPr>
            <w:tcW w:w="770" w:type="dxa"/>
            <w:noWrap w:val="0"/>
            <w:vAlign w:val="center"/>
          </w:tcPr>
          <w:p w14:paraId="4F878FF5">
            <w:pPr>
              <w:pStyle w:val="8"/>
              <w:bidi w:val="0"/>
              <w:rPr>
                <w:rFonts w:hint="default"/>
              </w:rPr>
            </w:pPr>
            <w:r>
              <w:rPr>
                <w:rFonts w:hint="default"/>
              </w:rPr>
              <w:t>　</w:t>
            </w:r>
          </w:p>
        </w:tc>
      </w:tr>
      <w:tr w14:paraId="6EAB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46B9E924">
            <w:pPr>
              <w:pStyle w:val="8"/>
              <w:bidi w:val="0"/>
              <w:rPr>
                <w:rFonts w:hint="default"/>
              </w:rPr>
            </w:pPr>
          </w:p>
        </w:tc>
        <w:tc>
          <w:tcPr>
            <w:tcW w:w="787" w:type="dxa"/>
            <w:vMerge w:val="continue"/>
            <w:noWrap w:val="0"/>
            <w:vAlign w:val="center"/>
          </w:tcPr>
          <w:p w14:paraId="113FF82E">
            <w:pPr>
              <w:pStyle w:val="8"/>
              <w:bidi w:val="0"/>
              <w:rPr>
                <w:rFonts w:hint="default"/>
              </w:rPr>
            </w:pPr>
          </w:p>
        </w:tc>
        <w:tc>
          <w:tcPr>
            <w:tcW w:w="920" w:type="dxa"/>
            <w:vMerge w:val="continue"/>
            <w:noWrap w:val="0"/>
            <w:vAlign w:val="center"/>
          </w:tcPr>
          <w:p w14:paraId="0967C4B3">
            <w:pPr>
              <w:pStyle w:val="8"/>
              <w:bidi w:val="0"/>
              <w:rPr>
                <w:rFonts w:hint="default"/>
              </w:rPr>
            </w:pPr>
          </w:p>
        </w:tc>
        <w:tc>
          <w:tcPr>
            <w:tcW w:w="6392" w:type="dxa"/>
            <w:noWrap w:val="0"/>
            <w:vAlign w:val="center"/>
          </w:tcPr>
          <w:p w14:paraId="73BC821A">
            <w:pPr>
              <w:pStyle w:val="8"/>
              <w:bidi w:val="0"/>
              <w:jc w:val="left"/>
              <w:rPr>
                <w:rFonts w:hint="default"/>
              </w:rPr>
            </w:pPr>
            <w:r>
              <w:rPr>
                <w:rFonts w:hint="default"/>
                <w:lang w:eastAsia="zh-CN"/>
              </w:rPr>
              <w:t>适用时，产品满足相关低碳产品要求。</w:t>
            </w:r>
          </w:p>
        </w:tc>
        <w:tc>
          <w:tcPr>
            <w:tcW w:w="2407" w:type="dxa"/>
            <w:noWrap w:val="0"/>
            <w:vAlign w:val="center"/>
          </w:tcPr>
          <w:p w14:paraId="4BEABE0F">
            <w:pPr>
              <w:pStyle w:val="8"/>
              <w:bidi w:val="0"/>
              <w:rPr>
                <w:rFonts w:hint="default"/>
              </w:rPr>
            </w:pPr>
            <w:r>
              <w:rPr>
                <w:rFonts w:hint="default"/>
              </w:rPr>
              <w:t>　</w:t>
            </w:r>
          </w:p>
        </w:tc>
        <w:tc>
          <w:tcPr>
            <w:tcW w:w="1275" w:type="dxa"/>
            <w:vMerge w:val="continue"/>
            <w:noWrap w:val="0"/>
            <w:vAlign w:val="center"/>
          </w:tcPr>
          <w:p w14:paraId="52419FDE">
            <w:pPr>
              <w:pStyle w:val="8"/>
              <w:bidi w:val="0"/>
              <w:rPr>
                <w:rFonts w:hint="default"/>
              </w:rPr>
            </w:pPr>
          </w:p>
        </w:tc>
        <w:tc>
          <w:tcPr>
            <w:tcW w:w="851" w:type="dxa"/>
            <w:noWrap w:val="0"/>
            <w:vAlign w:val="center"/>
          </w:tcPr>
          <w:p w14:paraId="6D9EAF9F">
            <w:pPr>
              <w:pStyle w:val="8"/>
              <w:bidi w:val="0"/>
              <w:rPr>
                <w:rFonts w:hint="default"/>
                <w:lang w:val="en-US" w:eastAsia="zh-CN"/>
              </w:rPr>
            </w:pPr>
            <w:r>
              <w:rPr>
                <w:rFonts w:hint="default"/>
                <w:lang w:val="en-US" w:eastAsia="zh-CN"/>
              </w:rPr>
              <w:t>3</w:t>
            </w:r>
          </w:p>
        </w:tc>
        <w:tc>
          <w:tcPr>
            <w:tcW w:w="711" w:type="dxa"/>
            <w:vMerge w:val="continue"/>
            <w:noWrap w:val="0"/>
            <w:vAlign w:val="center"/>
          </w:tcPr>
          <w:p w14:paraId="55A75551">
            <w:pPr>
              <w:pStyle w:val="8"/>
              <w:bidi w:val="0"/>
              <w:rPr>
                <w:rFonts w:hint="default"/>
              </w:rPr>
            </w:pPr>
          </w:p>
        </w:tc>
        <w:tc>
          <w:tcPr>
            <w:tcW w:w="770" w:type="dxa"/>
            <w:noWrap w:val="0"/>
            <w:vAlign w:val="center"/>
          </w:tcPr>
          <w:p w14:paraId="0986B6BA">
            <w:pPr>
              <w:pStyle w:val="8"/>
              <w:bidi w:val="0"/>
              <w:rPr>
                <w:rFonts w:hint="default"/>
              </w:rPr>
            </w:pPr>
            <w:r>
              <w:rPr>
                <w:rFonts w:hint="default"/>
              </w:rPr>
              <w:t>　</w:t>
            </w:r>
          </w:p>
        </w:tc>
      </w:tr>
      <w:tr w14:paraId="3800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FE6D8FA">
            <w:pPr>
              <w:pStyle w:val="8"/>
              <w:bidi w:val="0"/>
              <w:rPr>
                <w:rFonts w:hint="default"/>
              </w:rPr>
            </w:pPr>
          </w:p>
        </w:tc>
        <w:tc>
          <w:tcPr>
            <w:tcW w:w="787" w:type="dxa"/>
            <w:vMerge w:val="continue"/>
            <w:noWrap w:val="0"/>
            <w:vAlign w:val="center"/>
          </w:tcPr>
          <w:p w14:paraId="7C904731">
            <w:pPr>
              <w:pStyle w:val="8"/>
              <w:bidi w:val="0"/>
              <w:rPr>
                <w:rFonts w:hint="default"/>
              </w:rPr>
            </w:pPr>
          </w:p>
        </w:tc>
        <w:tc>
          <w:tcPr>
            <w:tcW w:w="920" w:type="dxa"/>
            <w:vMerge w:val="restart"/>
            <w:noWrap w:val="0"/>
            <w:vAlign w:val="center"/>
          </w:tcPr>
          <w:p w14:paraId="3B24D082">
            <w:pPr>
              <w:pStyle w:val="8"/>
              <w:bidi w:val="0"/>
              <w:rPr>
                <w:rFonts w:hint="default"/>
                <w:lang w:eastAsia="zh-CN"/>
              </w:rPr>
            </w:pPr>
            <w:r>
              <w:rPr>
                <w:rFonts w:hint="default"/>
                <w:lang w:eastAsia="zh-CN"/>
              </w:rPr>
              <w:t>可回收利用率</w:t>
            </w:r>
          </w:p>
        </w:tc>
        <w:tc>
          <w:tcPr>
            <w:tcW w:w="6392" w:type="dxa"/>
            <w:noWrap w:val="0"/>
            <w:vAlign w:val="center"/>
          </w:tcPr>
          <w:p w14:paraId="264098AA">
            <w:pPr>
              <w:pStyle w:val="8"/>
              <w:bidi w:val="0"/>
              <w:jc w:val="left"/>
              <w:rPr>
                <w:rFonts w:hint="default"/>
              </w:rPr>
            </w:pPr>
            <w:r>
              <w:rPr>
                <w:rFonts w:hint="default"/>
              </w:rPr>
              <w:t>按照GB/T 20862的要求计算其产品的可回收利用率。</w:t>
            </w:r>
          </w:p>
        </w:tc>
        <w:tc>
          <w:tcPr>
            <w:tcW w:w="2407" w:type="dxa"/>
            <w:noWrap w:val="0"/>
            <w:vAlign w:val="center"/>
          </w:tcPr>
          <w:p w14:paraId="5FD8E22F">
            <w:pPr>
              <w:pStyle w:val="8"/>
              <w:bidi w:val="0"/>
              <w:rPr>
                <w:rFonts w:hint="default"/>
              </w:rPr>
            </w:pPr>
            <w:r>
              <w:rPr>
                <w:rFonts w:hint="default"/>
              </w:rPr>
              <w:t>　</w:t>
            </w:r>
          </w:p>
        </w:tc>
        <w:tc>
          <w:tcPr>
            <w:tcW w:w="1275" w:type="dxa"/>
            <w:vMerge w:val="restart"/>
            <w:noWrap w:val="0"/>
            <w:vAlign w:val="center"/>
          </w:tcPr>
          <w:p w14:paraId="0F5E9CD8">
            <w:pPr>
              <w:pStyle w:val="8"/>
              <w:bidi w:val="0"/>
              <w:rPr>
                <w:rFonts w:hint="default"/>
              </w:rPr>
            </w:pPr>
            <w:r>
              <w:rPr>
                <w:rFonts w:hint="default"/>
              </w:rPr>
              <w:t>可选</w:t>
            </w:r>
          </w:p>
        </w:tc>
        <w:tc>
          <w:tcPr>
            <w:tcW w:w="851" w:type="dxa"/>
            <w:noWrap w:val="0"/>
            <w:vAlign w:val="center"/>
          </w:tcPr>
          <w:p w14:paraId="434FA79F">
            <w:pPr>
              <w:pStyle w:val="8"/>
              <w:bidi w:val="0"/>
              <w:rPr>
                <w:rFonts w:hint="default"/>
                <w:lang w:val="en-US" w:eastAsia="zh-CN"/>
              </w:rPr>
            </w:pPr>
            <w:r>
              <w:rPr>
                <w:rFonts w:hint="default"/>
                <w:lang w:val="en-US" w:eastAsia="zh-CN"/>
              </w:rPr>
              <w:t>4</w:t>
            </w:r>
          </w:p>
        </w:tc>
        <w:tc>
          <w:tcPr>
            <w:tcW w:w="711" w:type="dxa"/>
            <w:vMerge w:val="continue"/>
            <w:noWrap w:val="0"/>
            <w:vAlign w:val="center"/>
          </w:tcPr>
          <w:p w14:paraId="7094DBE8">
            <w:pPr>
              <w:pStyle w:val="8"/>
              <w:bidi w:val="0"/>
              <w:rPr>
                <w:rFonts w:hint="default"/>
              </w:rPr>
            </w:pPr>
          </w:p>
        </w:tc>
        <w:tc>
          <w:tcPr>
            <w:tcW w:w="770" w:type="dxa"/>
            <w:noWrap w:val="0"/>
            <w:vAlign w:val="center"/>
          </w:tcPr>
          <w:p w14:paraId="09F4D2EE">
            <w:pPr>
              <w:pStyle w:val="8"/>
              <w:bidi w:val="0"/>
              <w:rPr>
                <w:rFonts w:hint="default"/>
              </w:rPr>
            </w:pPr>
            <w:r>
              <w:rPr>
                <w:rFonts w:hint="default"/>
              </w:rPr>
              <w:t>　</w:t>
            </w:r>
          </w:p>
        </w:tc>
      </w:tr>
      <w:tr w14:paraId="3004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1DD7D3E4">
            <w:pPr>
              <w:pStyle w:val="8"/>
              <w:bidi w:val="0"/>
              <w:rPr>
                <w:rFonts w:hint="default"/>
              </w:rPr>
            </w:pPr>
          </w:p>
        </w:tc>
        <w:tc>
          <w:tcPr>
            <w:tcW w:w="787" w:type="dxa"/>
            <w:vMerge w:val="continue"/>
            <w:noWrap w:val="0"/>
            <w:vAlign w:val="center"/>
          </w:tcPr>
          <w:p w14:paraId="61194C6C">
            <w:pPr>
              <w:pStyle w:val="8"/>
              <w:bidi w:val="0"/>
              <w:rPr>
                <w:rFonts w:hint="default"/>
              </w:rPr>
            </w:pPr>
          </w:p>
        </w:tc>
        <w:tc>
          <w:tcPr>
            <w:tcW w:w="920" w:type="dxa"/>
            <w:vMerge w:val="continue"/>
            <w:noWrap w:val="0"/>
            <w:vAlign w:val="center"/>
          </w:tcPr>
          <w:p w14:paraId="0B7F58BE">
            <w:pPr>
              <w:pStyle w:val="8"/>
              <w:bidi w:val="0"/>
              <w:rPr>
                <w:rFonts w:hint="default"/>
              </w:rPr>
            </w:pPr>
          </w:p>
        </w:tc>
        <w:tc>
          <w:tcPr>
            <w:tcW w:w="6392" w:type="dxa"/>
            <w:noWrap w:val="0"/>
            <w:vAlign w:val="center"/>
          </w:tcPr>
          <w:p w14:paraId="4B5CE0B9">
            <w:pPr>
              <w:pStyle w:val="8"/>
              <w:bidi w:val="0"/>
              <w:jc w:val="left"/>
              <w:rPr>
                <w:rFonts w:hint="default"/>
              </w:rPr>
            </w:pPr>
            <w:r>
              <w:rPr>
                <w:rFonts w:hint="default"/>
              </w:rPr>
              <w:t>利用计算结果对产品的可回收利用率进行改善。</w:t>
            </w:r>
          </w:p>
        </w:tc>
        <w:tc>
          <w:tcPr>
            <w:tcW w:w="2407" w:type="dxa"/>
            <w:noWrap w:val="0"/>
            <w:vAlign w:val="center"/>
          </w:tcPr>
          <w:p w14:paraId="7AA6524E">
            <w:pPr>
              <w:pStyle w:val="8"/>
              <w:bidi w:val="0"/>
              <w:rPr>
                <w:rFonts w:hint="default"/>
              </w:rPr>
            </w:pPr>
            <w:r>
              <w:rPr>
                <w:rFonts w:hint="default"/>
              </w:rPr>
              <w:t>　</w:t>
            </w:r>
          </w:p>
        </w:tc>
        <w:tc>
          <w:tcPr>
            <w:tcW w:w="1275" w:type="dxa"/>
            <w:vMerge w:val="continue"/>
            <w:noWrap w:val="0"/>
            <w:vAlign w:val="center"/>
          </w:tcPr>
          <w:p w14:paraId="178C1ED9">
            <w:pPr>
              <w:pStyle w:val="8"/>
              <w:bidi w:val="0"/>
              <w:rPr>
                <w:rFonts w:hint="default"/>
              </w:rPr>
            </w:pPr>
          </w:p>
        </w:tc>
        <w:tc>
          <w:tcPr>
            <w:tcW w:w="851" w:type="dxa"/>
            <w:noWrap w:val="0"/>
            <w:vAlign w:val="center"/>
          </w:tcPr>
          <w:p w14:paraId="424A6787">
            <w:pPr>
              <w:pStyle w:val="8"/>
              <w:bidi w:val="0"/>
              <w:rPr>
                <w:rFonts w:hint="default"/>
                <w:lang w:val="en-US" w:eastAsia="zh-CN"/>
              </w:rPr>
            </w:pPr>
            <w:r>
              <w:rPr>
                <w:rFonts w:hint="default"/>
                <w:lang w:val="en-US" w:eastAsia="zh-CN"/>
              </w:rPr>
              <w:t>4</w:t>
            </w:r>
          </w:p>
        </w:tc>
        <w:tc>
          <w:tcPr>
            <w:tcW w:w="711" w:type="dxa"/>
            <w:vMerge w:val="continue"/>
            <w:noWrap w:val="0"/>
            <w:vAlign w:val="center"/>
          </w:tcPr>
          <w:p w14:paraId="75A35F2F">
            <w:pPr>
              <w:pStyle w:val="8"/>
              <w:bidi w:val="0"/>
              <w:rPr>
                <w:rFonts w:hint="default"/>
              </w:rPr>
            </w:pPr>
          </w:p>
        </w:tc>
        <w:tc>
          <w:tcPr>
            <w:tcW w:w="770" w:type="dxa"/>
            <w:noWrap w:val="0"/>
            <w:vAlign w:val="center"/>
          </w:tcPr>
          <w:p w14:paraId="0BBD8B18">
            <w:pPr>
              <w:pStyle w:val="8"/>
              <w:bidi w:val="0"/>
              <w:rPr>
                <w:rFonts w:hint="default"/>
              </w:rPr>
            </w:pPr>
            <w:r>
              <w:rPr>
                <w:rFonts w:hint="default"/>
              </w:rPr>
              <w:t>　</w:t>
            </w:r>
          </w:p>
        </w:tc>
      </w:tr>
      <w:tr w14:paraId="7A4E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noWrap w:val="0"/>
            <w:vAlign w:val="center"/>
          </w:tcPr>
          <w:p w14:paraId="48D43FBD">
            <w:pPr>
              <w:pStyle w:val="8"/>
              <w:bidi w:val="0"/>
              <w:rPr>
                <w:rFonts w:hint="default"/>
              </w:rPr>
            </w:pPr>
            <w:r>
              <w:rPr>
                <w:rFonts w:hint="default"/>
              </w:rPr>
              <w:t>5</w:t>
            </w:r>
          </w:p>
        </w:tc>
        <w:tc>
          <w:tcPr>
            <w:tcW w:w="787" w:type="dxa"/>
            <w:vMerge w:val="restart"/>
            <w:noWrap w:val="0"/>
            <w:vAlign w:val="center"/>
          </w:tcPr>
          <w:p w14:paraId="6029F2D9">
            <w:pPr>
              <w:pStyle w:val="8"/>
              <w:bidi w:val="0"/>
              <w:rPr>
                <w:rFonts w:hint="default"/>
              </w:rPr>
            </w:pPr>
            <w:r>
              <w:rPr>
                <w:rFonts w:hint="default"/>
              </w:rPr>
              <w:t>环境排放</w:t>
            </w:r>
          </w:p>
        </w:tc>
        <w:tc>
          <w:tcPr>
            <w:tcW w:w="920" w:type="dxa"/>
            <w:vMerge w:val="restart"/>
            <w:noWrap w:val="0"/>
            <w:vAlign w:val="center"/>
          </w:tcPr>
          <w:p w14:paraId="09B70F2B">
            <w:pPr>
              <w:pStyle w:val="8"/>
              <w:bidi w:val="0"/>
              <w:rPr>
                <w:rFonts w:hint="default"/>
              </w:rPr>
            </w:pPr>
            <w:r>
              <w:rPr>
                <w:rFonts w:hint="default"/>
              </w:rPr>
              <w:t>大气污染物</w:t>
            </w:r>
          </w:p>
        </w:tc>
        <w:tc>
          <w:tcPr>
            <w:tcW w:w="6392" w:type="dxa"/>
            <w:noWrap w:val="0"/>
            <w:vAlign w:val="center"/>
          </w:tcPr>
          <w:p w14:paraId="703574C9">
            <w:pPr>
              <w:pStyle w:val="8"/>
              <w:bidi w:val="0"/>
              <w:jc w:val="left"/>
              <w:rPr>
                <w:rFonts w:hint="default"/>
              </w:rPr>
            </w:pPr>
            <w:r>
              <w:rPr>
                <w:rFonts w:hint="default"/>
              </w:rPr>
              <w:t>工厂的大气污染物排放应符合相关国家标准、行业标准及地方标准要求，并满足区域内排放总量控制要求。</w:t>
            </w:r>
          </w:p>
        </w:tc>
        <w:tc>
          <w:tcPr>
            <w:tcW w:w="2407" w:type="dxa"/>
            <w:noWrap w:val="0"/>
            <w:vAlign w:val="center"/>
          </w:tcPr>
          <w:p w14:paraId="10F6CBA3">
            <w:pPr>
              <w:pStyle w:val="8"/>
              <w:bidi w:val="0"/>
              <w:rPr>
                <w:rFonts w:hint="default"/>
              </w:rPr>
            </w:pPr>
            <w:r>
              <w:rPr>
                <w:rFonts w:hint="default"/>
              </w:rPr>
              <w:t>　</w:t>
            </w:r>
          </w:p>
        </w:tc>
        <w:tc>
          <w:tcPr>
            <w:tcW w:w="1275" w:type="dxa"/>
            <w:noWrap w:val="0"/>
            <w:vAlign w:val="center"/>
          </w:tcPr>
          <w:p w14:paraId="5BF045B6">
            <w:pPr>
              <w:pStyle w:val="8"/>
              <w:bidi w:val="0"/>
              <w:rPr>
                <w:rFonts w:hint="default"/>
              </w:rPr>
            </w:pPr>
            <w:r>
              <w:rPr>
                <w:rFonts w:hint="default"/>
                <w:lang w:eastAsia="zh-CN"/>
              </w:rPr>
              <w:t>必选</w:t>
            </w:r>
          </w:p>
        </w:tc>
        <w:tc>
          <w:tcPr>
            <w:tcW w:w="851" w:type="dxa"/>
            <w:noWrap w:val="0"/>
            <w:vAlign w:val="center"/>
          </w:tcPr>
          <w:p w14:paraId="2F57865B">
            <w:pPr>
              <w:pStyle w:val="8"/>
              <w:bidi w:val="0"/>
              <w:rPr>
                <w:rFonts w:hint="default"/>
                <w:lang w:val="en-US" w:eastAsia="zh-CN"/>
              </w:rPr>
            </w:pPr>
            <w:r>
              <w:rPr>
                <w:rFonts w:hint="default"/>
                <w:lang w:val="en-US" w:eastAsia="zh-CN"/>
              </w:rPr>
              <w:t>15</w:t>
            </w:r>
          </w:p>
        </w:tc>
        <w:tc>
          <w:tcPr>
            <w:tcW w:w="711" w:type="dxa"/>
            <w:vMerge w:val="restart"/>
            <w:noWrap w:val="0"/>
            <w:vAlign w:val="center"/>
          </w:tcPr>
          <w:p w14:paraId="71322B7A">
            <w:pPr>
              <w:pStyle w:val="8"/>
              <w:bidi w:val="0"/>
              <w:rPr>
                <w:rFonts w:hint="default"/>
              </w:rPr>
            </w:pPr>
            <w:r>
              <w:rPr>
                <w:rFonts w:hint="default"/>
              </w:rPr>
              <w:t>10%</w:t>
            </w:r>
          </w:p>
        </w:tc>
        <w:tc>
          <w:tcPr>
            <w:tcW w:w="770" w:type="dxa"/>
            <w:noWrap w:val="0"/>
            <w:vAlign w:val="center"/>
          </w:tcPr>
          <w:p w14:paraId="14CDE7E4">
            <w:pPr>
              <w:pStyle w:val="8"/>
              <w:bidi w:val="0"/>
              <w:rPr>
                <w:rFonts w:hint="default"/>
              </w:rPr>
            </w:pPr>
            <w:r>
              <w:rPr>
                <w:rFonts w:hint="default"/>
              </w:rPr>
              <w:t>　</w:t>
            </w:r>
          </w:p>
        </w:tc>
      </w:tr>
      <w:tr w14:paraId="25D2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42FECE77">
            <w:pPr>
              <w:pStyle w:val="8"/>
              <w:bidi w:val="0"/>
              <w:rPr>
                <w:rFonts w:hint="default"/>
              </w:rPr>
            </w:pPr>
          </w:p>
        </w:tc>
        <w:tc>
          <w:tcPr>
            <w:tcW w:w="787" w:type="dxa"/>
            <w:vMerge w:val="continue"/>
            <w:noWrap w:val="0"/>
            <w:vAlign w:val="center"/>
          </w:tcPr>
          <w:p w14:paraId="095D8966">
            <w:pPr>
              <w:pStyle w:val="8"/>
              <w:bidi w:val="0"/>
              <w:rPr>
                <w:rFonts w:hint="default"/>
              </w:rPr>
            </w:pPr>
          </w:p>
        </w:tc>
        <w:tc>
          <w:tcPr>
            <w:tcW w:w="920" w:type="dxa"/>
            <w:vMerge w:val="continue"/>
            <w:noWrap w:val="0"/>
            <w:vAlign w:val="center"/>
          </w:tcPr>
          <w:p w14:paraId="7774636B">
            <w:pPr>
              <w:pStyle w:val="8"/>
              <w:bidi w:val="0"/>
              <w:rPr>
                <w:rFonts w:hint="default"/>
              </w:rPr>
            </w:pPr>
          </w:p>
        </w:tc>
        <w:tc>
          <w:tcPr>
            <w:tcW w:w="6392" w:type="dxa"/>
            <w:noWrap w:val="0"/>
            <w:vAlign w:val="center"/>
          </w:tcPr>
          <w:p w14:paraId="41814484">
            <w:pPr>
              <w:pStyle w:val="8"/>
              <w:bidi w:val="0"/>
              <w:jc w:val="left"/>
              <w:rPr>
                <w:rFonts w:hint="default"/>
              </w:rPr>
            </w:pPr>
            <w:r>
              <w:rPr>
                <w:rFonts w:hint="default"/>
              </w:rPr>
              <w:t>工厂的</w:t>
            </w:r>
            <w:r>
              <w:rPr>
                <w:rFonts w:hint="default"/>
                <w:lang w:eastAsia="zh-CN"/>
              </w:rPr>
              <w:t>主要</w:t>
            </w:r>
            <w:r>
              <w:rPr>
                <w:rFonts w:hint="default"/>
              </w:rPr>
              <w:t>大气污染物排放</w:t>
            </w:r>
            <w:r>
              <w:rPr>
                <w:rFonts w:hint="default"/>
                <w:lang w:eastAsia="zh-CN"/>
              </w:rPr>
              <w:t>满足标准中更高等级的要求。</w:t>
            </w:r>
          </w:p>
        </w:tc>
        <w:tc>
          <w:tcPr>
            <w:tcW w:w="2407" w:type="dxa"/>
            <w:noWrap w:val="0"/>
            <w:vAlign w:val="center"/>
          </w:tcPr>
          <w:p w14:paraId="216987AA">
            <w:pPr>
              <w:pStyle w:val="8"/>
              <w:bidi w:val="0"/>
              <w:rPr>
                <w:rFonts w:hint="default"/>
              </w:rPr>
            </w:pPr>
            <w:r>
              <w:rPr>
                <w:rFonts w:hint="default"/>
              </w:rPr>
              <w:t>　</w:t>
            </w:r>
          </w:p>
        </w:tc>
        <w:tc>
          <w:tcPr>
            <w:tcW w:w="1275" w:type="dxa"/>
            <w:noWrap w:val="0"/>
            <w:vAlign w:val="center"/>
          </w:tcPr>
          <w:p w14:paraId="495E22FF">
            <w:pPr>
              <w:pStyle w:val="8"/>
              <w:bidi w:val="0"/>
              <w:rPr>
                <w:rFonts w:hint="default"/>
                <w:lang w:eastAsia="zh-CN"/>
              </w:rPr>
            </w:pPr>
            <w:r>
              <w:rPr>
                <w:rFonts w:hint="default"/>
                <w:lang w:eastAsia="zh-CN"/>
              </w:rPr>
              <w:t>可选</w:t>
            </w:r>
          </w:p>
        </w:tc>
        <w:tc>
          <w:tcPr>
            <w:tcW w:w="851" w:type="dxa"/>
            <w:noWrap w:val="0"/>
            <w:vAlign w:val="center"/>
          </w:tcPr>
          <w:p w14:paraId="053C3C62">
            <w:pPr>
              <w:pStyle w:val="8"/>
              <w:bidi w:val="0"/>
              <w:rPr>
                <w:rFonts w:hint="default"/>
                <w:lang w:val="en-US" w:eastAsia="zh-CN"/>
              </w:rPr>
            </w:pPr>
            <w:r>
              <w:rPr>
                <w:rFonts w:hint="default"/>
                <w:lang w:val="en-US" w:eastAsia="zh-CN"/>
              </w:rPr>
              <w:t>10</w:t>
            </w:r>
          </w:p>
        </w:tc>
        <w:tc>
          <w:tcPr>
            <w:tcW w:w="711" w:type="dxa"/>
            <w:vMerge w:val="continue"/>
            <w:noWrap w:val="0"/>
            <w:vAlign w:val="center"/>
          </w:tcPr>
          <w:p w14:paraId="3CE04117">
            <w:pPr>
              <w:pStyle w:val="8"/>
              <w:bidi w:val="0"/>
              <w:rPr>
                <w:rFonts w:hint="default"/>
              </w:rPr>
            </w:pPr>
          </w:p>
        </w:tc>
        <w:tc>
          <w:tcPr>
            <w:tcW w:w="770" w:type="dxa"/>
            <w:noWrap w:val="0"/>
            <w:vAlign w:val="center"/>
          </w:tcPr>
          <w:p w14:paraId="24A86998">
            <w:pPr>
              <w:pStyle w:val="8"/>
              <w:bidi w:val="0"/>
              <w:rPr>
                <w:rFonts w:hint="default"/>
              </w:rPr>
            </w:pPr>
            <w:r>
              <w:rPr>
                <w:rFonts w:hint="default"/>
              </w:rPr>
              <w:t>　</w:t>
            </w:r>
          </w:p>
        </w:tc>
      </w:tr>
      <w:tr w14:paraId="0528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47F8B0A">
            <w:pPr>
              <w:pStyle w:val="8"/>
              <w:bidi w:val="0"/>
              <w:rPr>
                <w:rFonts w:hint="default"/>
              </w:rPr>
            </w:pPr>
          </w:p>
        </w:tc>
        <w:tc>
          <w:tcPr>
            <w:tcW w:w="787" w:type="dxa"/>
            <w:vMerge w:val="continue"/>
            <w:noWrap w:val="0"/>
            <w:vAlign w:val="center"/>
          </w:tcPr>
          <w:p w14:paraId="230FDCD6">
            <w:pPr>
              <w:pStyle w:val="8"/>
              <w:bidi w:val="0"/>
              <w:rPr>
                <w:rFonts w:hint="default"/>
              </w:rPr>
            </w:pPr>
          </w:p>
        </w:tc>
        <w:tc>
          <w:tcPr>
            <w:tcW w:w="920" w:type="dxa"/>
            <w:vMerge w:val="restart"/>
            <w:noWrap w:val="0"/>
            <w:vAlign w:val="center"/>
          </w:tcPr>
          <w:p w14:paraId="56A9285E">
            <w:pPr>
              <w:pStyle w:val="8"/>
              <w:bidi w:val="0"/>
              <w:rPr>
                <w:rFonts w:hint="default"/>
              </w:rPr>
            </w:pPr>
            <w:r>
              <w:rPr>
                <w:rFonts w:hint="default"/>
              </w:rPr>
              <w:t>水体污染物</w:t>
            </w:r>
          </w:p>
        </w:tc>
        <w:tc>
          <w:tcPr>
            <w:tcW w:w="6392" w:type="dxa"/>
            <w:noWrap w:val="0"/>
            <w:vAlign w:val="center"/>
          </w:tcPr>
          <w:p w14:paraId="03452E46">
            <w:pPr>
              <w:pStyle w:val="8"/>
              <w:bidi w:val="0"/>
              <w:jc w:val="left"/>
              <w:rPr>
                <w:rFonts w:hint="default"/>
              </w:rPr>
            </w:pPr>
            <w:r>
              <w:rPr>
                <w:rFonts w:hint="default"/>
              </w:rPr>
              <w:t>工厂的水体污染物排放应符合相关国家标准、行业标准及地方标准要求，或在满足要求的前提下委托具备相应能力和资质的处理厂进行处理，并满足区域内排放总量控制要求。</w:t>
            </w:r>
          </w:p>
        </w:tc>
        <w:tc>
          <w:tcPr>
            <w:tcW w:w="2407" w:type="dxa"/>
            <w:noWrap w:val="0"/>
            <w:vAlign w:val="center"/>
          </w:tcPr>
          <w:p w14:paraId="4060E78E">
            <w:pPr>
              <w:pStyle w:val="8"/>
              <w:bidi w:val="0"/>
              <w:rPr>
                <w:rFonts w:hint="default"/>
              </w:rPr>
            </w:pPr>
            <w:r>
              <w:rPr>
                <w:rFonts w:hint="default"/>
              </w:rPr>
              <w:t>　</w:t>
            </w:r>
          </w:p>
        </w:tc>
        <w:tc>
          <w:tcPr>
            <w:tcW w:w="1275" w:type="dxa"/>
            <w:noWrap w:val="0"/>
            <w:vAlign w:val="center"/>
          </w:tcPr>
          <w:p w14:paraId="57EF594C">
            <w:pPr>
              <w:pStyle w:val="8"/>
              <w:bidi w:val="0"/>
              <w:rPr>
                <w:rFonts w:hint="default"/>
              </w:rPr>
            </w:pPr>
            <w:r>
              <w:rPr>
                <w:rFonts w:hint="default"/>
                <w:lang w:eastAsia="zh-CN"/>
              </w:rPr>
              <w:t>必选</w:t>
            </w:r>
          </w:p>
        </w:tc>
        <w:tc>
          <w:tcPr>
            <w:tcW w:w="851" w:type="dxa"/>
            <w:noWrap w:val="0"/>
            <w:vAlign w:val="center"/>
          </w:tcPr>
          <w:p w14:paraId="0FD68B3A">
            <w:pPr>
              <w:pStyle w:val="8"/>
              <w:bidi w:val="0"/>
              <w:rPr>
                <w:rFonts w:hint="default"/>
                <w:lang w:val="en-US" w:eastAsia="zh-CN"/>
              </w:rPr>
            </w:pPr>
            <w:r>
              <w:rPr>
                <w:rFonts w:hint="default"/>
                <w:lang w:val="en-US" w:eastAsia="zh-CN"/>
              </w:rPr>
              <w:t>15</w:t>
            </w:r>
          </w:p>
        </w:tc>
        <w:tc>
          <w:tcPr>
            <w:tcW w:w="711" w:type="dxa"/>
            <w:vMerge w:val="continue"/>
            <w:noWrap w:val="0"/>
            <w:vAlign w:val="center"/>
          </w:tcPr>
          <w:p w14:paraId="674B7501">
            <w:pPr>
              <w:pStyle w:val="8"/>
              <w:bidi w:val="0"/>
              <w:rPr>
                <w:rFonts w:hint="default"/>
              </w:rPr>
            </w:pPr>
          </w:p>
        </w:tc>
        <w:tc>
          <w:tcPr>
            <w:tcW w:w="770" w:type="dxa"/>
            <w:noWrap w:val="0"/>
            <w:vAlign w:val="center"/>
          </w:tcPr>
          <w:p w14:paraId="38D6D07B">
            <w:pPr>
              <w:pStyle w:val="8"/>
              <w:bidi w:val="0"/>
              <w:rPr>
                <w:rFonts w:hint="default"/>
              </w:rPr>
            </w:pPr>
            <w:r>
              <w:rPr>
                <w:rFonts w:hint="default"/>
              </w:rPr>
              <w:t>　</w:t>
            </w:r>
          </w:p>
        </w:tc>
      </w:tr>
      <w:tr w14:paraId="18EE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5A1C957">
            <w:pPr>
              <w:pStyle w:val="8"/>
              <w:bidi w:val="0"/>
              <w:rPr>
                <w:rFonts w:hint="default"/>
              </w:rPr>
            </w:pPr>
          </w:p>
        </w:tc>
        <w:tc>
          <w:tcPr>
            <w:tcW w:w="787" w:type="dxa"/>
            <w:vMerge w:val="continue"/>
            <w:noWrap w:val="0"/>
            <w:vAlign w:val="center"/>
          </w:tcPr>
          <w:p w14:paraId="242D8C2C">
            <w:pPr>
              <w:pStyle w:val="8"/>
              <w:bidi w:val="0"/>
              <w:rPr>
                <w:rFonts w:hint="default"/>
              </w:rPr>
            </w:pPr>
          </w:p>
        </w:tc>
        <w:tc>
          <w:tcPr>
            <w:tcW w:w="920" w:type="dxa"/>
            <w:vMerge w:val="continue"/>
            <w:noWrap w:val="0"/>
            <w:vAlign w:val="center"/>
          </w:tcPr>
          <w:p w14:paraId="273010B7">
            <w:pPr>
              <w:pStyle w:val="8"/>
              <w:bidi w:val="0"/>
              <w:rPr>
                <w:rFonts w:hint="default"/>
              </w:rPr>
            </w:pPr>
          </w:p>
        </w:tc>
        <w:tc>
          <w:tcPr>
            <w:tcW w:w="6392" w:type="dxa"/>
            <w:noWrap w:val="0"/>
            <w:vAlign w:val="center"/>
          </w:tcPr>
          <w:p w14:paraId="7F132889">
            <w:pPr>
              <w:pStyle w:val="8"/>
              <w:bidi w:val="0"/>
              <w:jc w:val="left"/>
              <w:rPr>
                <w:rFonts w:hint="default"/>
              </w:rPr>
            </w:pPr>
            <w:r>
              <w:rPr>
                <w:rFonts w:hint="default"/>
              </w:rPr>
              <w:t>工厂的</w:t>
            </w:r>
            <w:r>
              <w:rPr>
                <w:rFonts w:hint="default"/>
                <w:lang w:eastAsia="zh-CN"/>
              </w:rPr>
              <w:t>主要水体</w:t>
            </w:r>
            <w:r>
              <w:rPr>
                <w:rFonts w:hint="default"/>
              </w:rPr>
              <w:t>污染物排放</w:t>
            </w:r>
            <w:r>
              <w:rPr>
                <w:rFonts w:hint="default"/>
                <w:lang w:eastAsia="zh-CN"/>
              </w:rPr>
              <w:t>满足标准中更高等级的要求。</w:t>
            </w:r>
          </w:p>
        </w:tc>
        <w:tc>
          <w:tcPr>
            <w:tcW w:w="2407" w:type="dxa"/>
            <w:noWrap w:val="0"/>
            <w:vAlign w:val="center"/>
          </w:tcPr>
          <w:p w14:paraId="2C7FEE69">
            <w:pPr>
              <w:pStyle w:val="8"/>
              <w:bidi w:val="0"/>
              <w:rPr>
                <w:rFonts w:hint="default"/>
              </w:rPr>
            </w:pPr>
            <w:r>
              <w:rPr>
                <w:rFonts w:hint="default"/>
              </w:rPr>
              <w:t>　</w:t>
            </w:r>
          </w:p>
        </w:tc>
        <w:tc>
          <w:tcPr>
            <w:tcW w:w="1275" w:type="dxa"/>
            <w:noWrap w:val="0"/>
            <w:vAlign w:val="center"/>
          </w:tcPr>
          <w:p w14:paraId="6500F7F5">
            <w:pPr>
              <w:pStyle w:val="8"/>
              <w:bidi w:val="0"/>
              <w:rPr>
                <w:rFonts w:hint="default"/>
                <w:lang w:eastAsia="zh-CN"/>
              </w:rPr>
            </w:pPr>
            <w:r>
              <w:rPr>
                <w:rFonts w:hint="default"/>
                <w:lang w:eastAsia="zh-CN"/>
              </w:rPr>
              <w:t>可选</w:t>
            </w:r>
          </w:p>
        </w:tc>
        <w:tc>
          <w:tcPr>
            <w:tcW w:w="851" w:type="dxa"/>
            <w:noWrap w:val="0"/>
            <w:vAlign w:val="center"/>
          </w:tcPr>
          <w:p w14:paraId="5C2B3658">
            <w:pPr>
              <w:pStyle w:val="8"/>
              <w:bidi w:val="0"/>
              <w:rPr>
                <w:rFonts w:hint="default"/>
                <w:lang w:val="en-US" w:eastAsia="zh-CN"/>
              </w:rPr>
            </w:pPr>
            <w:r>
              <w:rPr>
                <w:rFonts w:hint="default"/>
                <w:lang w:val="en-US" w:eastAsia="zh-CN"/>
              </w:rPr>
              <w:t>10</w:t>
            </w:r>
          </w:p>
        </w:tc>
        <w:tc>
          <w:tcPr>
            <w:tcW w:w="711" w:type="dxa"/>
            <w:vMerge w:val="continue"/>
            <w:noWrap w:val="0"/>
            <w:vAlign w:val="center"/>
          </w:tcPr>
          <w:p w14:paraId="602F011F">
            <w:pPr>
              <w:pStyle w:val="8"/>
              <w:bidi w:val="0"/>
              <w:rPr>
                <w:rFonts w:hint="default"/>
              </w:rPr>
            </w:pPr>
          </w:p>
        </w:tc>
        <w:tc>
          <w:tcPr>
            <w:tcW w:w="770" w:type="dxa"/>
            <w:noWrap w:val="0"/>
            <w:vAlign w:val="center"/>
          </w:tcPr>
          <w:p w14:paraId="36EB31C7">
            <w:pPr>
              <w:pStyle w:val="8"/>
              <w:bidi w:val="0"/>
              <w:rPr>
                <w:rFonts w:hint="default"/>
              </w:rPr>
            </w:pPr>
            <w:r>
              <w:rPr>
                <w:rFonts w:hint="default"/>
              </w:rPr>
              <w:t>　</w:t>
            </w:r>
          </w:p>
        </w:tc>
      </w:tr>
      <w:tr w14:paraId="4A4B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7D9CC1E">
            <w:pPr>
              <w:pStyle w:val="8"/>
              <w:bidi w:val="0"/>
              <w:rPr>
                <w:rFonts w:hint="default"/>
              </w:rPr>
            </w:pPr>
          </w:p>
        </w:tc>
        <w:tc>
          <w:tcPr>
            <w:tcW w:w="787" w:type="dxa"/>
            <w:vMerge w:val="continue"/>
            <w:noWrap w:val="0"/>
            <w:vAlign w:val="center"/>
          </w:tcPr>
          <w:p w14:paraId="198AB351">
            <w:pPr>
              <w:pStyle w:val="8"/>
              <w:bidi w:val="0"/>
              <w:rPr>
                <w:rFonts w:hint="default"/>
              </w:rPr>
            </w:pPr>
          </w:p>
        </w:tc>
        <w:tc>
          <w:tcPr>
            <w:tcW w:w="920" w:type="dxa"/>
            <w:noWrap w:val="0"/>
            <w:vAlign w:val="center"/>
          </w:tcPr>
          <w:p w14:paraId="79AEC29B">
            <w:pPr>
              <w:pStyle w:val="8"/>
              <w:bidi w:val="0"/>
              <w:rPr>
                <w:rFonts w:hint="default"/>
              </w:rPr>
            </w:pPr>
            <w:r>
              <w:rPr>
                <w:rFonts w:hint="default"/>
              </w:rPr>
              <w:t>固体废</w:t>
            </w:r>
            <w:r>
              <w:rPr>
                <w:rFonts w:hint="default"/>
                <w:lang w:eastAsia="zh-CN"/>
              </w:rPr>
              <w:t>弃</w:t>
            </w:r>
            <w:r>
              <w:rPr>
                <w:rFonts w:hint="default"/>
              </w:rPr>
              <w:t>物</w:t>
            </w:r>
          </w:p>
        </w:tc>
        <w:tc>
          <w:tcPr>
            <w:tcW w:w="6392" w:type="dxa"/>
            <w:noWrap w:val="0"/>
            <w:vAlign w:val="center"/>
          </w:tcPr>
          <w:p w14:paraId="5095F4ED">
            <w:pPr>
              <w:pStyle w:val="8"/>
              <w:bidi w:val="0"/>
              <w:jc w:val="left"/>
              <w:rPr>
                <w:rFonts w:hint="default"/>
              </w:rPr>
            </w:pPr>
            <w:r>
              <w:rPr>
                <w:rFonts w:hint="default"/>
              </w:rPr>
              <w:t>工厂产生的固体废弃物的处理应符合GB 18599及相关标准的要求。工厂无法自行处理的，应将固体废弃物转交给具备相应能力和资质的处理厂进行处理。</w:t>
            </w:r>
          </w:p>
        </w:tc>
        <w:tc>
          <w:tcPr>
            <w:tcW w:w="2407" w:type="dxa"/>
            <w:noWrap w:val="0"/>
            <w:vAlign w:val="center"/>
          </w:tcPr>
          <w:p w14:paraId="3985424A">
            <w:pPr>
              <w:pStyle w:val="8"/>
              <w:bidi w:val="0"/>
              <w:rPr>
                <w:rFonts w:hint="default"/>
              </w:rPr>
            </w:pPr>
            <w:r>
              <w:rPr>
                <w:rFonts w:hint="default"/>
              </w:rPr>
              <w:t>　</w:t>
            </w:r>
          </w:p>
        </w:tc>
        <w:tc>
          <w:tcPr>
            <w:tcW w:w="1275" w:type="dxa"/>
            <w:noWrap w:val="0"/>
            <w:vAlign w:val="center"/>
          </w:tcPr>
          <w:p w14:paraId="29AFEAE1">
            <w:pPr>
              <w:pStyle w:val="8"/>
              <w:bidi w:val="0"/>
              <w:rPr>
                <w:rFonts w:hint="default"/>
              </w:rPr>
            </w:pPr>
            <w:r>
              <w:rPr>
                <w:rFonts w:hint="default"/>
                <w:lang w:eastAsia="zh-CN"/>
              </w:rPr>
              <w:t>必选</w:t>
            </w:r>
          </w:p>
        </w:tc>
        <w:tc>
          <w:tcPr>
            <w:tcW w:w="851" w:type="dxa"/>
            <w:noWrap w:val="0"/>
            <w:vAlign w:val="center"/>
          </w:tcPr>
          <w:p w14:paraId="3824F93A">
            <w:pPr>
              <w:pStyle w:val="8"/>
              <w:bidi w:val="0"/>
              <w:rPr>
                <w:rFonts w:hint="default"/>
                <w:lang w:val="en-US" w:eastAsia="zh-CN"/>
              </w:rPr>
            </w:pPr>
            <w:r>
              <w:rPr>
                <w:rFonts w:hint="default"/>
                <w:lang w:val="en-US" w:eastAsia="zh-CN"/>
              </w:rPr>
              <w:t>10</w:t>
            </w:r>
          </w:p>
        </w:tc>
        <w:tc>
          <w:tcPr>
            <w:tcW w:w="711" w:type="dxa"/>
            <w:vMerge w:val="continue"/>
            <w:noWrap w:val="0"/>
            <w:vAlign w:val="center"/>
          </w:tcPr>
          <w:p w14:paraId="26AF34E3">
            <w:pPr>
              <w:pStyle w:val="8"/>
              <w:bidi w:val="0"/>
              <w:rPr>
                <w:rFonts w:hint="default"/>
              </w:rPr>
            </w:pPr>
          </w:p>
        </w:tc>
        <w:tc>
          <w:tcPr>
            <w:tcW w:w="770" w:type="dxa"/>
            <w:noWrap w:val="0"/>
            <w:vAlign w:val="center"/>
          </w:tcPr>
          <w:p w14:paraId="70A4D1C0">
            <w:pPr>
              <w:pStyle w:val="8"/>
              <w:bidi w:val="0"/>
              <w:rPr>
                <w:rFonts w:hint="default"/>
              </w:rPr>
            </w:pPr>
            <w:r>
              <w:rPr>
                <w:rFonts w:hint="default"/>
              </w:rPr>
              <w:t>　</w:t>
            </w:r>
          </w:p>
        </w:tc>
      </w:tr>
      <w:tr w14:paraId="55EC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1043F66">
            <w:pPr>
              <w:pStyle w:val="8"/>
              <w:bidi w:val="0"/>
              <w:rPr>
                <w:rFonts w:hint="default"/>
              </w:rPr>
            </w:pPr>
          </w:p>
        </w:tc>
        <w:tc>
          <w:tcPr>
            <w:tcW w:w="787" w:type="dxa"/>
            <w:vMerge w:val="continue"/>
            <w:noWrap w:val="0"/>
            <w:vAlign w:val="center"/>
          </w:tcPr>
          <w:p w14:paraId="70BA24FA">
            <w:pPr>
              <w:pStyle w:val="8"/>
              <w:bidi w:val="0"/>
              <w:rPr>
                <w:rFonts w:hint="default"/>
              </w:rPr>
            </w:pPr>
          </w:p>
        </w:tc>
        <w:tc>
          <w:tcPr>
            <w:tcW w:w="920" w:type="dxa"/>
            <w:noWrap w:val="0"/>
            <w:vAlign w:val="center"/>
          </w:tcPr>
          <w:p w14:paraId="40B5200C">
            <w:pPr>
              <w:pStyle w:val="8"/>
              <w:bidi w:val="0"/>
              <w:rPr>
                <w:rFonts w:hint="default"/>
              </w:rPr>
            </w:pPr>
            <w:r>
              <w:rPr>
                <w:rFonts w:hint="default"/>
              </w:rPr>
              <w:t>噪声</w:t>
            </w:r>
          </w:p>
        </w:tc>
        <w:tc>
          <w:tcPr>
            <w:tcW w:w="6392" w:type="dxa"/>
            <w:noWrap w:val="0"/>
            <w:vAlign w:val="center"/>
          </w:tcPr>
          <w:p w14:paraId="111B080C">
            <w:pPr>
              <w:pStyle w:val="8"/>
              <w:bidi w:val="0"/>
              <w:jc w:val="left"/>
              <w:rPr>
                <w:rFonts w:hint="default"/>
              </w:rPr>
            </w:pPr>
            <w:r>
              <w:rPr>
                <w:rFonts w:hint="default"/>
              </w:rPr>
              <w:t>工厂的厂界环境噪声排放应符合相关国家标准、行业标准及地方标准要求。</w:t>
            </w:r>
          </w:p>
        </w:tc>
        <w:tc>
          <w:tcPr>
            <w:tcW w:w="2407" w:type="dxa"/>
            <w:noWrap w:val="0"/>
            <w:vAlign w:val="center"/>
          </w:tcPr>
          <w:p w14:paraId="332DD78F">
            <w:pPr>
              <w:pStyle w:val="8"/>
              <w:bidi w:val="0"/>
              <w:rPr>
                <w:rFonts w:hint="default"/>
              </w:rPr>
            </w:pPr>
            <w:r>
              <w:rPr>
                <w:rFonts w:hint="default"/>
              </w:rPr>
              <w:t>　</w:t>
            </w:r>
          </w:p>
        </w:tc>
        <w:tc>
          <w:tcPr>
            <w:tcW w:w="1275" w:type="dxa"/>
            <w:noWrap w:val="0"/>
            <w:vAlign w:val="center"/>
          </w:tcPr>
          <w:p w14:paraId="63C0F550">
            <w:pPr>
              <w:pStyle w:val="8"/>
              <w:bidi w:val="0"/>
              <w:rPr>
                <w:rFonts w:hint="default"/>
              </w:rPr>
            </w:pPr>
            <w:r>
              <w:rPr>
                <w:rFonts w:hint="default"/>
                <w:lang w:eastAsia="zh-CN"/>
              </w:rPr>
              <w:t>必选</w:t>
            </w:r>
          </w:p>
        </w:tc>
        <w:tc>
          <w:tcPr>
            <w:tcW w:w="851" w:type="dxa"/>
            <w:noWrap w:val="0"/>
            <w:vAlign w:val="center"/>
          </w:tcPr>
          <w:p w14:paraId="6EB67B88">
            <w:pPr>
              <w:pStyle w:val="8"/>
              <w:bidi w:val="0"/>
              <w:rPr>
                <w:rFonts w:hint="default"/>
                <w:lang w:val="en-US" w:eastAsia="zh-CN"/>
              </w:rPr>
            </w:pPr>
            <w:r>
              <w:rPr>
                <w:rFonts w:hint="default"/>
                <w:lang w:val="en-US" w:eastAsia="zh-CN"/>
              </w:rPr>
              <w:t>10</w:t>
            </w:r>
          </w:p>
        </w:tc>
        <w:tc>
          <w:tcPr>
            <w:tcW w:w="711" w:type="dxa"/>
            <w:vMerge w:val="continue"/>
            <w:noWrap w:val="0"/>
            <w:vAlign w:val="center"/>
          </w:tcPr>
          <w:p w14:paraId="36D6AACA">
            <w:pPr>
              <w:pStyle w:val="8"/>
              <w:bidi w:val="0"/>
              <w:rPr>
                <w:rFonts w:hint="default"/>
              </w:rPr>
            </w:pPr>
          </w:p>
        </w:tc>
        <w:tc>
          <w:tcPr>
            <w:tcW w:w="770" w:type="dxa"/>
            <w:noWrap w:val="0"/>
            <w:vAlign w:val="center"/>
          </w:tcPr>
          <w:p w14:paraId="1640E053">
            <w:pPr>
              <w:pStyle w:val="8"/>
              <w:bidi w:val="0"/>
              <w:rPr>
                <w:rFonts w:hint="default"/>
              </w:rPr>
            </w:pPr>
            <w:r>
              <w:rPr>
                <w:rFonts w:hint="default"/>
              </w:rPr>
              <w:t>　</w:t>
            </w:r>
          </w:p>
        </w:tc>
      </w:tr>
      <w:tr w14:paraId="4952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5B9522B6">
            <w:pPr>
              <w:pStyle w:val="8"/>
              <w:bidi w:val="0"/>
              <w:rPr>
                <w:rFonts w:hint="default"/>
              </w:rPr>
            </w:pPr>
          </w:p>
        </w:tc>
        <w:tc>
          <w:tcPr>
            <w:tcW w:w="787" w:type="dxa"/>
            <w:vMerge w:val="continue"/>
            <w:noWrap w:val="0"/>
            <w:vAlign w:val="center"/>
          </w:tcPr>
          <w:p w14:paraId="6BB4156C">
            <w:pPr>
              <w:pStyle w:val="8"/>
              <w:bidi w:val="0"/>
              <w:rPr>
                <w:rFonts w:hint="default"/>
              </w:rPr>
            </w:pPr>
          </w:p>
        </w:tc>
        <w:tc>
          <w:tcPr>
            <w:tcW w:w="920" w:type="dxa"/>
            <w:vMerge w:val="restart"/>
            <w:noWrap w:val="0"/>
            <w:vAlign w:val="center"/>
          </w:tcPr>
          <w:p w14:paraId="66CFB5B2">
            <w:pPr>
              <w:pStyle w:val="8"/>
              <w:bidi w:val="0"/>
              <w:rPr>
                <w:rFonts w:hint="default"/>
              </w:rPr>
            </w:pPr>
            <w:r>
              <w:rPr>
                <w:rFonts w:hint="default"/>
              </w:rPr>
              <w:t>温室</w:t>
            </w:r>
          </w:p>
          <w:p w14:paraId="52DCBFBA">
            <w:pPr>
              <w:pStyle w:val="8"/>
              <w:bidi w:val="0"/>
              <w:rPr>
                <w:rFonts w:hint="default"/>
              </w:rPr>
            </w:pPr>
            <w:r>
              <w:rPr>
                <w:rFonts w:hint="default"/>
              </w:rPr>
              <w:t>气体</w:t>
            </w:r>
          </w:p>
        </w:tc>
        <w:tc>
          <w:tcPr>
            <w:tcW w:w="6392" w:type="dxa"/>
            <w:noWrap w:val="0"/>
            <w:vAlign w:val="center"/>
          </w:tcPr>
          <w:p w14:paraId="0D30B1F6">
            <w:pPr>
              <w:pStyle w:val="8"/>
              <w:bidi w:val="0"/>
              <w:jc w:val="left"/>
              <w:rPr>
                <w:rFonts w:hint="default"/>
              </w:rPr>
            </w:pPr>
            <w:r>
              <w:rPr>
                <w:rFonts w:hint="default"/>
              </w:rPr>
              <w:t>工厂应采用GB/T 32150或适用的标准或规范对其厂界范围内的温室气体排放进行核算和报告。</w:t>
            </w:r>
          </w:p>
        </w:tc>
        <w:tc>
          <w:tcPr>
            <w:tcW w:w="2407" w:type="dxa"/>
            <w:noWrap w:val="0"/>
            <w:vAlign w:val="center"/>
          </w:tcPr>
          <w:p w14:paraId="63A88225">
            <w:pPr>
              <w:pStyle w:val="8"/>
              <w:bidi w:val="0"/>
              <w:rPr>
                <w:rFonts w:hint="default"/>
              </w:rPr>
            </w:pPr>
            <w:r>
              <w:rPr>
                <w:rFonts w:hint="default"/>
              </w:rPr>
              <w:t>　</w:t>
            </w:r>
          </w:p>
        </w:tc>
        <w:tc>
          <w:tcPr>
            <w:tcW w:w="1275" w:type="dxa"/>
            <w:noWrap w:val="0"/>
            <w:vAlign w:val="center"/>
          </w:tcPr>
          <w:p w14:paraId="26C00450">
            <w:pPr>
              <w:pStyle w:val="8"/>
              <w:bidi w:val="0"/>
              <w:rPr>
                <w:rFonts w:hint="default"/>
              </w:rPr>
            </w:pPr>
            <w:r>
              <w:rPr>
                <w:rFonts w:hint="default"/>
                <w:lang w:eastAsia="zh-CN"/>
              </w:rPr>
              <w:t>必选</w:t>
            </w:r>
          </w:p>
        </w:tc>
        <w:tc>
          <w:tcPr>
            <w:tcW w:w="851" w:type="dxa"/>
            <w:noWrap w:val="0"/>
            <w:vAlign w:val="center"/>
          </w:tcPr>
          <w:p w14:paraId="6E3BD189">
            <w:pPr>
              <w:pStyle w:val="8"/>
              <w:bidi w:val="0"/>
              <w:rPr>
                <w:rFonts w:hint="default"/>
                <w:lang w:val="en-US" w:eastAsia="zh-CN"/>
              </w:rPr>
            </w:pPr>
            <w:r>
              <w:rPr>
                <w:rFonts w:hint="default"/>
                <w:lang w:val="en-US" w:eastAsia="zh-CN"/>
              </w:rPr>
              <w:t>10</w:t>
            </w:r>
          </w:p>
        </w:tc>
        <w:tc>
          <w:tcPr>
            <w:tcW w:w="711" w:type="dxa"/>
            <w:vMerge w:val="continue"/>
            <w:noWrap w:val="0"/>
            <w:vAlign w:val="center"/>
          </w:tcPr>
          <w:p w14:paraId="6D5AA0C0">
            <w:pPr>
              <w:pStyle w:val="8"/>
              <w:bidi w:val="0"/>
              <w:rPr>
                <w:rFonts w:hint="default"/>
              </w:rPr>
            </w:pPr>
          </w:p>
        </w:tc>
        <w:tc>
          <w:tcPr>
            <w:tcW w:w="770" w:type="dxa"/>
            <w:noWrap w:val="0"/>
            <w:vAlign w:val="center"/>
          </w:tcPr>
          <w:p w14:paraId="39CBEE9F">
            <w:pPr>
              <w:pStyle w:val="8"/>
              <w:bidi w:val="0"/>
              <w:rPr>
                <w:rFonts w:hint="default"/>
              </w:rPr>
            </w:pPr>
            <w:r>
              <w:rPr>
                <w:rFonts w:hint="default"/>
              </w:rPr>
              <w:t>　</w:t>
            </w:r>
          </w:p>
        </w:tc>
      </w:tr>
      <w:tr w14:paraId="3E2C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151E6413">
            <w:pPr>
              <w:pStyle w:val="8"/>
              <w:bidi w:val="0"/>
              <w:rPr>
                <w:rFonts w:hint="default"/>
              </w:rPr>
            </w:pPr>
          </w:p>
        </w:tc>
        <w:tc>
          <w:tcPr>
            <w:tcW w:w="787" w:type="dxa"/>
            <w:vMerge w:val="continue"/>
            <w:noWrap w:val="0"/>
            <w:vAlign w:val="center"/>
          </w:tcPr>
          <w:p w14:paraId="1A91A122">
            <w:pPr>
              <w:pStyle w:val="8"/>
              <w:bidi w:val="0"/>
              <w:rPr>
                <w:rFonts w:hint="default"/>
              </w:rPr>
            </w:pPr>
          </w:p>
        </w:tc>
        <w:tc>
          <w:tcPr>
            <w:tcW w:w="920" w:type="dxa"/>
            <w:vMerge w:val="continue"/>
            <w:noWrap w:val="0"/>
            <w:vAlign w:val="center"/>
          </w:tcPr>
          <w:p w14:paraId="00953D5D">
            <w:pPr>
              <w:pStyle w:val="8"/>
              <w:bidi w:val="0"/>
              <w:rPr>
                <w:rFonts w:hint="default"/>
              </w:rPr>
            </w:pPr>
          </w:p>
        </w:tc>
        <w:tc>
          <w:tcPr>
            <w:tcW w:w="6392" w:type="dxa"/>
            <w:noWrap w:val="0"/>
            <w:vAlign w:val="center"/>
          </w:tcPr>
          <w:p w14:paraId="7C4A0EBF">
            <w:pPr>
              <w:pStyle w:val="8"/>
              <w:bidi w:val="0"/>
              <w:jc w:val="left"/>
              <w:rPr>
                <w:rFonts w:hint="default"/>
              </w:rPr>
            </w:pPr>
            <w:r>
              <w:rPr>
                <w:rFonts w:hint="default"/>
              </w:rPr>
              <w:t>获得温室气体排放量第三方核查声明。</w:t>
            </w:r>
          </w:p>
        </w:tc>
        <w:tc>
          <w:tcPr>
            <w:tcW w:w="2407" w:type="dxa"/>
            <w:noWrap w:val="0"/>
            <w:vAlign w:val="center"/>
          </w:tcPr>
          <w:p w14:paraId="455EF0CB">
            <w:pPr>
              <w:pStyle w:val="8"/>
              <w:bidi w:val="0"/>
              <w:rPr>
                <w:rFonts w:hint="default"/>
              </w:rPr>
            </w:pPr>
            <w:r>
              <w:rPr>
                <w:rFonts w:hint="default"/>
              </w:rPr>
              <w:t>　</w:t>
            </w:r>
          </w:p>
        </w:tc>
        <w:tc>
          <w:tcPr>
            <w:tcW w:w="1275" w:type="dxa"/>
            <w:noWrap w:val="0"/>
            <w:vAlign w:val="center"/>
          </w:tcPr>
          <w:p w14:paraId="088E0588">
            <w:pPr>
              <w:pStyle w:val="8"/>
              <w:bidi w:val="0"/>
              <w:rPr>
                <w:rFonts w:hint="default"/>
              </w:rPr>
            </w:pPr>
            <w:r>
              <w:rPr>
                <w:rFonts w:hint="default"/>
                <w:lang w:eastAsia="zh-CN"/>
              </w:rPr>
              <w:t>可选</w:t>
            </w:r>
          </w:p>
        </w:tc>
        <w:tc>
          <w:tcPr>
            <w:tcW w:w="851" w:type="dxa"/>
            <w:noWrap w:val="0"/>
            <w:vAlign w:val="center"/>
          </w:tcPr>
          <w:p w14:paraId="13F929D5">
            <w:pPr>
              <w:pStyle w:val="8"/>
              <w:bidi w:val="0"/>
              <w:rPr>
                <w:rFonts w:hint="default"/>
                <w:lang w:val="en-US" w:eastAsia="zh-CN"/>
              </w:rPr>
            </w:pPr>
            <w:r>
              <w:rPr>
                <w:rFonts w:hint="default"/>
                <w:lang w:val="en-US" w:eastAsia="zh-CN"/>
              </w:rPr>
              <w:t>10</w:t>
            </w:r>
          </w:p>
        </w:tc>
        <w:tc>
          <w:tcPr>
            <w:tcW w:w="711" w:type="dxa"/>
            <w:vMerge w:val="continue"/>
            <w:noWrap w:val="0"/>
            <w:vAlign w:val="center"/>
          </w:tcPr>
          <w:p w14:paraId="3D54C644">
            <w:pPr>
              <w:pStyle w:val="8"/>
              <w:bidi w:val="0"/>
              <w:rPr>
                <w:rFonts w:hint="default"/>
              </w:rPr>
            </w:pPr>
          </w:p>
        </w:tc>
        <w:tc>
          <w:tcPr>
            <w:tcW w:w="770" w:type="dxa"/>
            <w:noWrap w:val="0"/>
            <w:vAlign w:val="center"/>
          </w:tcPr>
          <w:p w14:paraId="4C4F5006">
            <w:pPr>
              <w:pStyle w:val="8"/>
              <w:bidi w:val="0"/>
              <w:rPr>
                <w:rFonts w:hint="default"/>
              </w:rPr>
            </w:pPr>
            <w:r>
              <w:rPr>
                <w:rFonts w:hint="default"/>
              </w:rPr>
              <w:t>　</w:t>
            </w:r>
          </w:p>
        </w:tc>
      </w:tr>
      <w:tr w14:paraId="75B2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FC7F03B">
            <w:pPr>
              <w:pStyle w:val="8"/>
              <w:bidi w:val="0"/>
              <w:rPr>
                <w:rFonts w:hint="default"/>
              </w:rPr>
            </w:pPr>
          </w:p>
        </w:tc>
        <w:tc>
          <w:tcPr>
            <w:tcW w:w="787" w:type="dxa"/>
            <w:vMerge w:val="continue"/>
            <w:noWrap w:val="0"/>
            <w:vAlign w:val="center"/>
          </w:tcPr>
          <w:p w14:paraId="0F9D1A2C">
            <w:pPr>
              <w:pStyle w:val="8"/>
              <w:bidi w:val="0"/>
              <w:rPr>
                <w:rFonts w:hint="default"/>
              </w:rPr>
            </w:pPr>
          </w:p>
        </w:tc>
        <w:tc>
          <w:tcPr>
            <w:tcW w:w="920" w:type="dxa"/>
            <w:vMerge w:val="continue"/>
            <w:noWrap w:val="0"/>
            <w:vAlign w:val="center"/>
          </w:tcPr>
          <w:p w14:paraId="319AAE86">
            <w:pPr>
              <w:pStyle w:val="8"/>
              <w:bidi w:val="0"/>
              <w:rPr>
                <w:rFonts w:hint="default"/>
              </w:rPr>
            </w:pPr>
          </w:p>
        </w:tc>
        <w:tc>
          <w:tcPr>
            <w:tcW w:w="6392" w:type="dxa"/>
            <w:noWrap w:val="0"/>
            <w:vAlign w:val="center"/>
          </w:tcPr>
          <w:p w14:paraId="5B568ACA">
            <w:pPr>
              <w:pStyle w:val="8"/>
              <w:bidi w:val="0"/>
              <w:jc w:val="left"/>
              <w:rPr>
                <w:rFonts w:hint="default"/>
              </w:rPr>
            </w:pPr>
            <w:r>
              <w:rPr>
                <w:rFonts w:hint="default"/>
              </w:rPr>
              <w:t>核查结果对外公布。</w:t>
            </w:r>
          </w:p>
        </w:tc>
        <w:tc>
          <w:tcPr>
            <w:tcW w:w="2407" w:type="dxa"/>
            <w:noWrap w:val="0"/>
            <w:vAlign w:val="center"/>
          </w:tcPr>
          <w:p w14:paraId="21DA773F">
            <w:pPr>
              <w:pStyle w:val="8"/>
              <w:bidi w:val="0"/>
              <w:rPr>
                <w:rFonts w:hint="default"/>
              </w:rPr>
            </w:pPr>
            <w:r>
              <w:rPr>
                <w:rFonts w:hint="default"/>
              </w:rPr>
              <w:t>　</w:t>
            </w:r>
          </w:p>
        </w:tc>
        <w:tc>
          <w:tcPr>
            <w:tcW w:w="1275" w:type="dxa"/>
            <w:noWrap w:val="0"/>
            <w:vAlign w:val="center"/>
          </w:tcPr>
          <w:p w14:paraId="7286D861">
            <w:pPr>
              <w:pStyle w:val="8"/>
              <w:bidi w:val="0"/>
              <w:rPr>
                <w:rFonts w:hint="default"/>
              </w:rPr>
            </w:pPr>
            <w:r>
              <w:rPr>
                <w:rFonts w:hint="default"/>
                <w:lang w:eastAsia="zh-CN"/>
              </w:rPr>
              <w:t>可选</w:t>
            </w:r>
          </w:p>
        </w:tc>
        <w:tc>
          <w:tcPr>
            <w:tcW w:w="851" w:type="dxa"/>
            <w:noWrap w:val="0"/>
            <w:vAlign w:val="center"/>
          </w:tcPr>
          <w:p w14:paraId="75295702">
            <w:pPr>
              <w:pStyle w:val="8"/>
              <w:bidi w:val="0"/>
              <w:rPr>
                <w:rFonts w:hint="default"/>
                <w:lang w:val="en-US" w:eastAsia="zh-CN"/>
              </w:rPr>
            </w:pPr>
            <w:r>
              <w:rPr>
                <w:rFonts w:hint="default"/>
                <w:lang w:val="en-US" w:eastAsia="zh-CN"/>
              </w:rPr>
              <w:t>4</w:t>
            </w:r>
          </w:p>
        </w:tc>
        <w:tc>
          <w:tcPr>
            <w:tcW w:w="711" w:type="dxa"/>
            <w:vMerge w:val="continue"/>
            <w:noWrap w:val="0"/>
            <w:vAlign w:val="center"/>
          </w:tcPr>
          <w:p w14:paraId="5EFBC157">
            <w:pPr>
              <w:pStyle w:val="8"/>
              <w:bidi w:val="0"/>
              <w:rPr>
                <w:rFonts w:hint="default"/>
              </w:rPr>
            </w:pPr>
          </w:p>
        </w:tc>
        <w:tc>
          <w:tcPr>
            <w:tcW w:w="770" w:type="dxa"/>
            <w:noWrap w:val="0"/>
            <w:vAlign w:val="center"/>
          </w:tcPr>
          <w:p w14:paraId="52A2E8E6">
            <w:pPr>
              <w:pStyle w:val="8"/>
              <w:bidi w:val="0"/>
              <w:rPr>
                <w:rFonts w:hint="default"/>
              </w:rPr>
            </w:pPr>
            <w:r>
              <w:rPr>
                <w:rFonts w:hint="default"/>
              </w:rPr>
              <w:t>　</w:t>
            </w:r>
          </w:p>
        </w:tc>
      </w:tr>
      <w:tr w14:paraId="78F6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699D8BB">
            <w:pPr>
              <w:pStyle w:val="8"/>
              <w:bidi w:val="0"/>
              <w:rPr>
                <w:rFonts w:hint="default"/>
              </w:rPr>
            </w:pPr>
          </w:p>
        </w:tc>
        <w:tc>
          <w:tcPr>
            <w:tcW w:w="787" w:type="dxa"/>
            <w:vMerge w:val="continue"/>
            <w:noWrap w:val="0"/>
            <w:vAlign w:val="center"/>
          </w:tcPr>
          <w:p w14:paraId="1997D3D8">
            <w:pPr>
              <w:pStyle w:val="8"/>
              <w:bidi w:val="0"/>
              <w:rPr>
                <w:rFonts w:hint="default"/>
              </w:rPr>
            </w:pPr>
          </w:p>
        </w:tc>
        <w:tc>
          <w:tcPr>
            <w:tcW w:w="920" w:type="dxa"/>
            <w:vMerge w:val="continue"/>
            <w:noWrap w:val="0"/>
            <w:vAlign w:val="center"/>
          </w:tcPr>
          <w:p w14:paraId="71F8E46A">
            <w:pPr>
              <w:pStyle w:val="8"/>
              <w:bidi w:val="0"/>
              <w:rPr>
                <w:rFonts w:hint="default"/>
              </w:rPr>
            </w:pPr>
          </w:p>
        </w:tc>
        <w:tc>
          <w:tcPr>
            <w:tcW w:w="6392" w:type="dxa"/>
            <w:noWrap w:val="0"/>
            <w:vAlign w:val="center"/>
          </w:tcPr>
          <w:p w14:paraId="149B5B3A">
            <w:pPr>
              <w:pStyle w:val="8"/>
              <w:bidi w:val="0"/>
              <w:jc w:val="left"/>
              <w:rPr>
                <w:rFonts w:hint="default"/>
              </w:rPr>
            </w:pPr>
            <w:r>
              <w:rPr>
                <w:rFonts w:hint="default"/>
              </w:rPr>
              <w:t>可行时，利用核算或核查结果对其温室气体的排放进行改善。</w:t>
            </w:r>
          </w:p>
        </w:tc>
        <w:tc>
          <w:tcPr>
            <w:tcW w:w="2407" w:type="dxa"/>
            <w:noWrap w:val="0"/>
            <w:vAlign w:val="center"/>
          </w:tcPr>
          <w:p w14:paraId="0D10AFAF">
            <w:pPr>
              <w:pStyle w:val="8"/>
              <w:bidi w:val="0"/>
              <w:rPr>
                <w:rFonts w:hint="default"/>
              </w:rPr>
            </w:pPr>
            <w:r>
              <w:rPr>
                <w:rFonts w:hint="default"/>
              </w:rPr>
              <w:t>　</w:t>
            </w:r>
          </w:p>
        </w:tc>
        <w:tc>
          <w:tcPr>
            <w:tcW w:w="1275" w:type="dxa"/>
            <w:noWrap w:val="0"/>
            <w:vAlign w:val="center"/>
          </w:tcPr>
          <w:p w14:paraId="41BE67D7">
            <w:pPr>
              <w:pStyle w:val="8"/>
              <w:bidi w:val="0"/>
              <w:rPr>
                <w:rFonts w:hint="default"/>
              </w:rPr>
            </w:pPr>
            <w:r>
              <w:rPr>
                <w:rFonts w:hint="default"/>
                <w:lang w:eastAsia="zh-CN"/>
              </w:rPr>
              <w:t>可选</w:t>
            </w:r>
          </w:p>
        </w:tc>
        <w:tc>
          <w:tcPr>
            <w:tcW w:w="851" w:type="dxa"/>
            <w:noWrap w:val="0"/>
            <w:vAlign w:val="center"/>
          </w:tcPr>
          <w:p w14:paraId="69B265BC">
            <w:pPr>
              <w:pStyle w:val="8"/>
              <w:bidi w:val="0"/>
              <w:rPr>
                <w:rFonts w:hint="default"/>
                <w:lang w:val="en-US" w:eastAsia="zh-CN"/>
              </w:rPr>
            </w:pPr>
            <w:r>
              <w:rPr>
                <w:rFonts w:hint="default"/>
                <w:lang w:val="en-US" w:eastAsia="zh-CN"/>
              </w:rPr>
              <w:t>6</w:t>
            </w:r>
          </w:p>
        </w:tc>
        <w:tc>
          <w:tcPr>
            <w:tcW w:w="711" w:type="dxa"/>
            <w:vMerge w:val="continue"/>
            <w:noWrap w:val="0"/>
            <w:vAlign w:val="center"/>
          </w:tcPr>
          <w:p w14:paraId="1A082DF0">
            <w:pPr>
              <w:pStyle w:val="8"/>
              <w:bidi w:val="0"/>
              <w:rPr>
                <w:rFonts w:hint="default"/>
              </w:rPr>
            </w:pPr>
          </w:p>
        </w:tc>
        <w:tc>
          <w:tcPr>
            <w:tcW w:w="770" w:type="dxa"/>
            <w:noWrap w:val="0"/>
            <w:vAlign w:val="center"/>
          </w:tcPr>
          <w:p w14:paraId="6E436E50">
            <w:pPr>
              <w:pStyle w:val="8"/>
              <w:bidi w:val="0"/>
              <w:rPr>
                <w:rFonts w:hint="default"/>
              </w:rPr>
            </w:pPr>
            <w:r>
              <w:rPr>
                <w:rFonts w:hint="default"/>
              </w:rPr>
              <w:t>　</w:t>
            </w:r>
          </w:p>
        </w:tc>
      </w:tr>
      <w:tr w14:paraId="28CF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restart"/>
            <w:noWrap w:val="0"/>
            <w:vAlign w:val="center"/>
          </w:tcPr>
          <w:p w14:paraId="44498C38">
            <w:pPr>
              <w:pStyle w:val="8"/>
              <w:bidi w:val="0"/>
              <w:rPr>
                <w:rFonts w:hint="default"/>
              </w:rPr>
            </w:pPr>
            <w:r>
              <w:rPr>
                <w:rFonts w:hint="default"/>
              </w:rPr>
              <w:t>6</w:t>
            </w:r>
          </w:p>
        </w:tc>
        <w:tc>
          <w:tcPr>
            <w:tcW w:w="787" w:type="dxa"/>
            <w:vMerge w:val="restart"/>
            <w:noWrap w:val="0"/>
            <w:vAlign w:val="center"/>
          </w:tcPr>
          <w:p w14:paraId="708B439E">
            <w:pPr>
              <w:pStyle w:val="8"/>
              <w:bidi w:val="0"/>
              <w:rPr>
                <w:rFonts w:hint="default"/>
              </w:rPr>
            </w:pPr>
            <w:r>
              <w:rPr>
                <w:rFonts w:hint="default"/>
              </w:rPr>
              <w:t>绩效</w:t>
            </w:r>
          </w:p>
        </w:tc>
        <w:tc>
          <w:tcPr>
            <w:tcW w:w="920" w:type="dxa"/>
            <w:vMerge w:val="restart"/>
            <w:noWrap w:val="0"/>
            <w:vAlign w:val="center"/>
          </w:tcPr>
          <w:p w14:paraId="7B0BAFC7">
            <w:pPr>
              <w:pStyle w:val="8"/>
              <w:bidi w:val="0"/>
              <w:rPr>
                <w:rFonts w:hint="default"/>
              </w:rPr>
            </w:pPr>
            <w:r>
              <w:rPr>
                <w:rFonts w:hint="default"/>
              </w:rPr>
              <w:t>用地集约化</w:t>
            </w:r>
          </w:p>
        </w:tc>
        <w:tc>
          <w:tcPr>
            <w:tcW w:w="6392" w:type="dxa"/>
            <w:noWrap w:val="0"/>
            <w:vAlign w:val="center"/>
          </w:tcPr>
          <w:p w14:paraId="7BCCB038">
            <w:pPr>
              <w:pStyle w:val="8"/>
              <w:bidi w:val="0"/>
              <w:jc w:val="left"/>
              <w:rPr>
                <w:rFonts w:hint="default"/>
              </w:rPr>
            </w:pPr>
            <w:r>
              <w:rPr>
                <w:rFonts w:hint="default"/>
              </w:rPr>
              <w:t>按照GB/T 36132附录A计算工厂容积率</w:t>
            </w:r>
            <w:r>
              <w:rPr>
                <w:rFonts w:hint="default"/>
                <w:lang w:eastAsia="zh-CN"/>
              </w:rPr>
              <w:t>，指标</w:t>
            </w:r>
            <w:r>
              <w:rPr>
                <w:rFonts w:hint="default"/>
              </w:rPr>
              <w:t>应不低于《工业项目建设用地控制指标》的要求。</w:t>
            </w:r>
          </w:p>
        </w:tc>
        <w:tc>
          <w:tcPr>
            <w:tcW w:w="2407" w:type="dxa"/>
            <w:vMerge w:val="restart"/>
            <w:noWrap w:val="0"/>
            <w:vAlign w:val="center"/>
          </w:tcPr>
          <w:p w14:paraId="68B63678">
            <w:pPr>
              <w:pStyle w:val="8"/>
              <w:bidi w:val="0"/>
              <w:rPr>
                <w:rFonts w:hint="default"/>
              </w:rPr>
            </w:pPr>
            <w:r>
              <w:rPr>
                <w:rFonts w:hint="default"/>
              </w:rPr>
              <w:t>　</w:t>
            </w:r>
          </w:p>
        </w:tc>
        <w:tc>
          <w:tcPr>
            <w:tcW w:w="1275" w:type="dxa"/>
            <w:noWrap w:val="0"/>
            <w:vAlign w:val="center"/>
          </w:tcPr>
          <w:p w14:paraId="3AB325FB">
            <w:pPr>
              <w:pStyle w:val="8"/>
              <w:bidi w:val="0"/>
              <w:rPr>
                <w:rFonts w:hint="default"/>
              </w:rPr>
            </w:pPr>
            <w:r>
              <w:rPr>
                <w:rFonts w:hint="default"/>
                <w:lang w:eastAsia="zh-CN"/>
              </w:rPr>
              <w:t>必选</w:t>
            </w:r>
          </w:p>
        </w:tc>
        <w:tc>
          <w:tcPr>
            <w:tcW w:w="851" w:type="dxa"/>
            <w:noWrap w:val="0"/>
            <w:vAlign w:val="center"/>
          </w:tcPr>
          <w:p w14:paraId="71DFEB61">
            <w:pPr>
              <w:pStyle w:val="8"/>
              <w:bidi w:val="0"/>
              <w:rPr>
                <w:rFonts w:hint="default"/>
              </w:rPr>
            </w:pPr>
            <w:r>
              <w:rPr>
                <w:rFonts w:hint="default"/>
                <w:lang w:val="en-US" w:eastAsia="zh-CN"/>
              </w:rPr>
              <w:t>3</w:t>
            </w:r>
          </w:p>
        </w:tc>
        <w:tc>
          <w:tcPr>
            <w:tcW w:w="711" w:type="dxa"/>
            <w:vMerge w:val="restart"/>
            <w:noWrap w:val="0"/>
            <w:vAlign w:val="center"/>
          </w:tcPr>
          <w:p w14:paraId="0B6E40DC">
            <w:pPr>
              <w:pStyle w:val="8"/>
              <w:bidi w:val="0"/>
              <w:rPr>
                <w:rFonts w:hint="default"/>
              </w:rPr>
            </w:pPr>
            <w:r>
              <w:rPr>
                <w:rFonts w:hint="default"/>
              </w:rPr>
              <w:t>30%</w:t>
            </w:r>
          </w:p>
        </w:tc>
        <w:tc>
          <w:tcPr>
            <w:tcW w:w="770" w:type="dxa"/>
            <w:noWrap w:val="0"/>
            <w:vAlign w:val="center"/>
          </w:tcPr>
          <w:p w14:paraId="2212966C">
            <w:pPr>
              <w:pStyle w:val="8"/>
              <w:bidi w:val="0"/>
              <w:rPr>
                <w:rFonts w:hint="default"/>
              </w:rPr>
            </w:pPr>
            <w:r>
              <w:rPr>
                <w:rFonts w:hint="default"/>
              </w:rPr>
              <w:t>　</w:t>
            </w:r>
          </w:p>
        </w:tc>
      </w:tr>
      <w:tr w14:paraId="480D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C9E235D">
            <w:pPr>
              <w:pStyle w:val="8"/>
              <w:bidi w:val="0"/>
              <w:rPr>
                <w:rFonts w:hint="default"/>
              </w:rPr>
            </w:pPr>
          </w:p>
        </w:tc>
        <w:tc>
          <w:tcPr>
            <w:tcW w:w="787" w:type="dxa"/>
            <w:vMerge w:val="continue"/>
            <w:noWrap w:val="0"/>
            <w:vAlign w:val="center"/>
          </w:tcPr>
          <w:p w14:paraId="6DDCE45D">
            <w:pPr>
              <w:pStyle w:val="8"/>
              <w:bidi w:val="0"/>
              <w:rPr>
                <w:rFonts w:hint="default"/>
              </w:rPr>
            </w:pPr>
          </w:p>
        </w:tc>
        <w:tc>
          <w:tcPr>
            <w:tcW w:w="920" w:type="dxa"/>
            <w:vMerge w:val="continue"/>
            <w:noWrap w:val="0"/>
            <w:vAlign w:val="center"/>
          </w:tcPr>
          <w:p w14:paraId="37DC4BFD">
            <w:pPr>
              <w:pStyle w:val="8"/>
              <w:bidi w:val="0"/>
              <w:rPr>
                <w:rFonts w:hint="default"/>
              </w:rPr>
            </w:pPr>
          </w:p>
        </w:tc>
        <w:tc>
          <w:tcPr>
            <w:tcW w:w="6392" w:type="dxa"/>
            <w:noWrap w:val="0"/>
            <w:vAlign w:val="center"/>
          </w:tcPr>
          <w:p w14:paraId="4E2BBF52">
            <w:pPr>
              <w:pStyle w:val="8"/>
              <w:bidi w:val="0"/>
              <w:jc w:val="left"/>
              <w:rPr>
                <w:rFonts w:hint="default"/>
              </w:rPr>
            </w:pPr>
            <w:r>
              <w:rPr>
                <w:rFonts w:hint="default"/>
              </w:rPr>
              <w:t>按照GB/T 36132附录A计算工厂容积率</w:t>
            </w:r>
            <w:r>
              <w:rPr>
                <w:rFonts w:hint="default"/>
                <w:lang w:eastAsia="zh-CN"/>
              </w:rPr>
              <w:t>，指标</w:t>
            </w:r>
            <w:r>
              <w:rPr>
                <w:rFonts w:hint="default"/>
              </w:rPr>
              <w:t>达到《工业项目建设用地控制指标》要求的1.2倍</w:t>
            </w:r>
            <w:r>
              <w:rPr>
                <w:rFonts w:hint="default"/>
                <w:lang w:eastAsia="zh-CN"/>
              </w:rPr>
              <w:t>及</w:t>
            </w:r>
            <w:r>
              <w:rPr>
                <w:rFonts w:hint="default"/>
              </w:rPr>
              <w:t>以上，2倍</w:t>
            </w:r>
            <w:r>
              <w:rPr>
                <w:rFonts w:hint="default"/>
                <w:lang w:eastAsia="zh-CN"/>
              </w:rPr>
              <w:t>及</w:t>
            </w:r>
            <w:r>
              <w:rPr>
                <w:rFonts w:hint="default"/>
              </w:rPr>
              <w:t>以上为满分。</w:t>
            </w:r>
          </w:p>
        </w:tc>
        <w:tc>
          <w:tcPr>
            <w:tcW w:w="2407" w:type="dxa"/>
            <w:vMerge w:val="continue"/>
            <w:noWrap w:val="0"/>
            <w:vAlign w:val="center"/>
          </w:tcPr>
          <w:p w14:paraId="6DA61FBC">
            <w:pPr>
              <w:pStyle w:val="8"/>
              <w:bidi w:val="0"/>
              <w:rPr>
                <w:rFonts w:hint="default"/>
              </w:rPr>
            </w:pPr>
          </w:p>
        </w:tc>
        <w:tc>
          <w:tcPr>
            <w:tcW w:w="1275" w:type="dxa"/>
            <w:noWrap w:val="0"/>
            <w:vAlign w:val="center"/>
          </w:tcPr>
          <w:p w14:paraId="53B684E8">
            <w:pPr>
              <w:pStyle w:val="8"/>
              <w:bidi w:val="0"/>
              <w:rPr>
                <w:rFonts w:hint="default"/>
              </w:rPr>
            </w:pPr>
            <w:r>
              <w:rPr>
                <w:rFonts w:hint="default"/>
                <w:lang w:eastAsia="zh-CN"/>
              </w:rPr>
              <w:t>可选</w:t>
            </w:r>
          </w:p>
        </w:tc>
        <w:tc>
          <w:tcPr>
            <w:tcW w:w="851" w:type="dxa"/>
            <w:noWrap w:val="0"/>
            <w:vAlign w:val="center"/>
          </w:tcPr>
          <w:p w14:paraId="0FFB0FA6">
            <w:pPr>
              <w:pStyle w:val="8"/>
              <w:bidi w:val="0"/>
              <w:rPr>
                <w:rFonts w:hint="default"/>
              </w:rPr>
            </w:pPr>
            <w:r>
              <w:rPr>
                <w:rFonts w:hint="default"/>
                <w:lang w:val="en-US" w:eastAsia="zh-CN"/>
              </w:rPr>
              <w:t>2</w:t>
            </w:r>
          </w:p>
        </w:tc>
        <w:tc>
          <w:tcPr>
            <w:tcW w:w="711" w:type="dxa"/>
            <w:vMerge w:val="continue"/>
            <w:noWrap w:val="0"/>
            <w:vAlign w:val="center"/>
          </w:tcPr>
          <w:p w14:paraId="5792899D">
            <w:pPr>
              <w:pStyle w:val="8"/>
              <w:bidi w:val="0"/>
              <w:rPr>
                <w:rFonts w:hint="default"/>
              </w:rPr>
            </w:pPr>
          </w:p>
        </w:tc>
        <w:tc>
          <w:tcPr>
            <w:tcW w:w="770" w:type="dxa"/>
            <w:noWrap w:val="0"/>
            <w:vAlign w:val="center"/>
          </w:tcPr>
          <w:p w14:paraId="2031E328">
            <w:pPr>
              <w:pStyle w:val="8"/>
              <w:bidi w:val="0"/>
              <w:rPr>
                <w:rFonts w:hint="default"/>
              </w:rPr>
            </w:pPr>
            <w:r>
              <w:rPr>
                <w:rFonts w:hint="default"/>
              </w:rPr>
              <w:t>　</w:t>
            </w:r>
          </w:p>
        </w:tc>
      </w:tr>
      <w:tr w14:paraId="71E4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FBC8569">
            <w:pPr>
              <w:pStyle w:val="8"/>
              <w:bidi w:val="0"/>
              <w:rPr>
                <w:rFonts w:hint="default"/>
              </w:rPr>
            </w:pPr>
          </w:p>
        </w:tc>
        <w:tc>
          <w:tcPr>
            <w:tcW w:w="787" w:type="dxa"/>
            <w:vMerge w:val="continue"/>
            <w:noWrap w:val="0"/>
            <w:vAlign w:val="center"/>
          </w:tcPr>
          <w:p w14:paraId="7B907A1D">
            <w:pPr>
              <w:pStyle w:val="8"/>
              <w:bidi w:val="0"/>
              <w:rPr>
                <w:rFonts w:hint="default"/>
              </w:rPr>
            </w:pPr>
          </w:p>
        </w:tc>
        <w:tc>
          <w:tcPr>
            <w:tcW w:w="920" w:type="dxa"/>
            <w:vMerge w:val="continue"/>
            <w:noWrap w:val="0"/>
            <w:vAlign w:val="center"/>
          </w:tcPr>
          <w:p w14:paraId="19E048BE">
            <w:pPr>
              <w:pStyle w:val="8"/>
              <w:bidi w:val="0"/>
              <w:rPr>
                <w:rFonts w:hint="default"/>
              </w:rPr>
            </w:pPr>
          </w:p>
        </w:tc>
        <w:tc>
          <w:tcPr>
            <w:tcW w:w="6392" w:type="dxa"/>
            <w:noWrap w:val="0"/>
            <w:vAlign w:val="center"/>
          </w:tcPr>
          <w:p w14:paraId="5BB89568">
            <w:pPr>
              <w:pStyle w:val="8"/>
              <w:bidi w:val="0"/>
              <w:jc w:val="left"/>
              <w:rPr>
                <w:rFonts w:hint="default"/>
              </w:rPr>
            </w:pPr>
            <w:r>
              <w:rPr>
                <w:rFonts w:hint="default"/>
              </w:rPr>
              <w:t>按照GB/T 36132附录A计算工厂建筑密度，建筑密度不低于30%。</w:t>
            </w:r>
          </w:p>
        </w:tc>
        <w:tc>
          <w:tcPr>
            <w:tcW w:w="2407" w:type="dxa"/>
            <w:vMerge w:val="restart"/>
            <w:noWrap w:val="0"/>
            <w:vAlign w:val="center"/>
          </w:tcPr>
          <w:p w14:paraId="461E40A4">
            <w:pPr>
              <w:pStyle w:val="8"/>
              <w:bidi w:val="0"/>
              <w:rPr>
                <w:rFonts w:hint="default"/>
              </w:rPr>
            </w:pPr>
          </w:p>
        </w:tc>
        <w:tc>
          <w:tcPr>
            <w:tcW w:w="1275" w:type="dxa"/>
            <w:noWrap w:val="0"/>
            <w:vAlign w:val="center"/>
          </w:tcPr>
          <w:p w14:paraId="35B9CA88">
            <w:pPr>
              <w:pStyle w:val="8"/>
              <w:bidi w:val="0"/>
              <w:rPr>
                <w:rFonts w:hint="default"/>
                <w:lang w:eastAsia="zh-CN"/>
              </w:rPr>
            </w:pPr>
            <w:r>
              <w:rPr>
                <w:rFonts w:hint="default"/>
                <w:lang w:eastAsia="zh-CN"/>
              </w:rPr>
              <w:t>必选</w:t>
            </w:r>
          </w:p>
        </w:tc>
        <w:tc>
          <w:tcPr>
            <w:tcW w:w="851" w:type="dxa"/>
            <w:noWrap w:val="0"/>
            <w:vAlign w:val="center"/>
          </w:tcPr>
          <w:p w14:paraId="3A3A2DEE">
            <w:pPr>
              <w:pStyle w:val="8"/>
              <w:bidi w:val="0"/>
              <w:rPr>
                <w:rFonts w:hint="default"/>
                <w:lang w:val="en-US" w:eastAsia="zh-CN"/>
              </w:rPr>
            </w:pPr>
            <w:r>
              <w:rPr>
                <w:rFonts w:hint="default"/>
                <w:lang w:val="en-US" w:eastAsia="zh-CN"/>
              </w:rPr>
              <w:t>3</w:t>
            </w:r>
          </w:p>
        </w:tc>
        <w:tc>
          <w:tcPr>
            <w:tcW w:w="711" w:type="dxa"/>
            <w:vMerge w:val="continue"/>
            <w:noWrap w:val="0"/>
            <w:vAlign w:val="center"/>
          </w:tcPr>
          <w:p w14:paraId="19939978">
            <w:pPr>
              <w:pStyle w:val="8"/>
              <w:bidi w:val="0"/>
              <w:rPr>
                <w:rFonts w:hint="default"/>
              </w:rPr>
            </w:pPr>
          </w:p>
        </w:tc>
        <w:tc>
          <w:tcPr>
            <w:tcW w:w="770" w:type="dxa"/>
            <w:noWrap w:val="0"/>
            <w:vAlign w:val="center"/>
          </w:tcPr>
          <w:p w14:paraId="42BBB582">
            <w:pPr>
              <w:pStyle w:val="8"/>
              <w:bidi w:val="0"/>
              <w:rPr>
                <w:rFonts w:hint="default"/>
              </w:rPr>
            </w:pPr>
          </w:p>
        </w:tc>
      </w:tr>
      <w:tr w14:paraId="484E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BBAC54C">
            <w:pPr>
              <w:pStyle w:val="8"/>
              <w:bidi w:val="0"/>
              <w:rPr>
                <w:rFonts w:hint="default"/>
              </w:rPr>
            </w:pPr>
          </w:p>
        </w:tc>
        <w:tc>
          <w:tcPr>
            <w:tcW w:w="787" w:type="dxa"/>
            <w:vMerge w:val="continue"/>
            <w:noWrap w:val="0"/>
            <w:vAlign w:val="center"/>
          </w:tcPr>
          <w:p w14:paraId="515F0CD4">
            <w:pPr>
              <w:pStyle w:val="8"/>
              <w:bidi w:val="0"/>
              <w:rPr>
                <w:rFonts w:hint="default"/>
              </w:rPr>
            </w:pPr>
          </w:p>
        </w:tc>
        <w:tc>
          <w:tcPr>
            <w:tcW w:w="920" w:type="dxa"/>
            <w:vMerge w:val="continue"/>
            <w:noWrap w:val="0"/>
            <w:vAlign w:val="center"/>
          </w:tcPr>
          <w:p w14:paraId="207561C4">
            <w:pPr>
              <w:pStyle w:val="8"/>
              <w:bidi w:val="0"/>
              <w:rPr>
                <w:rFonts w:hint="default"/>
              </w:rPr>
            </w:pPr>
          </w:p>
        </w:tc>
        <w:tc>
          <w:tcPr>
            <w:tcW w:w="6392" w:type="dxa"/>
            <w:noWrap w:val="0"/>
            <w:vAlign w:val="center"/>
          </w:tcPr>
          <w:p w14:paraId="69FCC5FE">
            <w:pPr>
              <w:pStyle w:val="8"/>
              <w:bidi w:val="0"/>
              <w:jc w:val="left"/>
              <w:rPr>
                <w:rFonts w:hint="default"/>
              </w:rPr>
            </w:pPr>
            <w:r>
              <w:rPr>
                <w:rFonts w:hint="default"/>
              </w:rPr>
              <w:t>按照GB/T 36132附录A计算工厂建筑密度，建筑密度</w:t>
            </w:r>
            <w:r>
              <w:rPr>
                <w:rFonts w:hint="default"/>
                <w:lang w:eastAsia="zh-CN"/>
              </w:rPr>
              <w:t>达到</w:t>
            </w:r>
            <w:r>
              <w:rPr>
                <w:rFonts w:hint="default"/>
                <w:lang w:val="en-US" w:eastAsia="zh-CN"/>
              </w:rPr>
              <w:t>4</w:t>
            </w:r>
            <w:r>
              <w:rPr>
                <w:rFonts w:hint="default"/>
              </w:rPr>
              <w:t>0%。</w:t>
            </w:r>
          </w:p>
        </w:tc>
        <w:tc>
          <w:tcPr>
            <w:tcW w:w="2407" w:type="dxa"/>
            <w:vMerge w:val="continue"/>
            <w:noWrap w:val="0"/>
            <w:vAlign w:val="center"/>
          </w:tcPr>
          <w:p w14:paraId="759ECA43">
            <w:pPr>
              <w:pStyle w:val="8"/>
              <w:bidi w:val="0"/>
              <w:rPr>
                <w:rFonts w:hint="default"/>
              </w:rPr>
            </w:pPr>
          </w:p>
        </w:tc>
        <w:tc>
          <w:tcPr>
            <w:tcW w:w="1275" w:type="dxa"/>
            <w:noWrap w:val="0"/>
            <w:vAlign w:val="center"/>
          </w:tcPr>
          <w:p w14:paraId="61433DCF">
            <w:pPr>
              <w:pStyle w:val="8"/>
              <w:bidi w:val="0"/>
              <w:rPr>
                <w:rFonts w:hint="default"/>
                <w:lang w:eastAsia="zh-CN"/>
              </w:rPr>
            </w:pPr>
            <w:r>
              <w:rPr>
                <w:rFonts w:hint="default"/>
                <w:lang w:eastAsia="zh-CN"/>
              </w:rPr>
              <w:t>可选</w:t>
            </w:r>
          </w:p>
        </w:tc>
        <w:tc>
          <w:tcPr>
            <w:tcW w:w="851" w:type="dxa"/>
            <w:noWrap w:val="0"/>
            <w:vAlign w:val="center"/>
          </w:tcPr>
          <w:p w14:paraId="3E9B5EE8">
            <w:pPr>
              <w:pStyle w:val="8"/>
              <w:bidi w:val="0"/>
              <w:rPr>
                <w:rFonts w:hint="default"/>
                <w:lang w:val="en-US" w:eastAsia="zh-CN"/>
              </w:rPr>
            </w:pPr>
            <w:r>
              <w:rPr>
                <w:rFonts w:hint="default"/>
                <w:lang w:val="en-US" w:eastAsia="zh-CN"/>
              </w:rPr>
              <w:t>2</w:t>
            </w:r>
          </w:p>
        </w:tc>
        <w:tc>
          <w:tcPr>
            <w:tcW w:w="711" w:type="dxa"/>
            <w:vMerge w:val="continue"/>
            <w:noWrap w:val="0"/>
            <w:vAlign w:val="center"/>
          </w:tcPr>
          <w:p w14:paraId="6E5085D2">
            <w:pPr>
              <w:pStyle w:val="8"/>
              <w:bidi w:val="0"/>
              <w:rPr>
                <w:rFonts w:hint="default"/>
              </w:rPr>
            </w:pPr>
          </w:p>
        </w:tc>
        <w:tc>
          <w:tcPr>
            <w:tcW w:w="770" w:type="dxa"/>
            <w:noWrap w:val="0"/>
            <w:vAlign w:val="center"/>
          </w:tcPr>
          <w:p w14:paraId="689464DB">
            <w:pPr>
              <w:pStyle w:val="8"/>
              <w:bidi w:val="0"/>
              <w:rPr>
                <w:rFonts w:hint="default"/>
              </w:rPr>
            </w:pPr>
          </w:p>
        </w:tc>
      </w:tr>
      <w:tr w14:paraId="42BE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57AA11A">
            <w:pPr>
              <w:pStyle w:val="8"/>
              <w:bidi w:val="0"/>
              <w:rPr>
                <w:rFonts w:hint="default"/>
              </w:rPr>
            </w:pPr>
          </w:p>
        </w:tc>
        <w:tc>
          <w:tcPr>
            <w:tcW w:w="787" w:type="dxa"/>
            <w:vMerge w:val="continue"/>
            <w:noWrap w:val="0"/>
            <w:vAlign w:val="center"/>
          </w:tcPr>
          <w:p w14:paraId="091EC387">
            <w:pPr>
              <w:pStyle w:val="8"/>
              <w:bidi w:val="0"/>
              <w:rPr>
                <w:rFonts w:hint="default"/>
              </w:rPr>
            </w:pPr>
          </w:p>
        </w:tc>
        <w:tc>
          <w:tcPr>
            <w:tcW w:w="920" w:type="dxa"/>
            <w:vMerge w:val="continue"/>
            <w:noWrap w:val="0"/>
            <w:vAlign w:val="center"/>
          </w:tcPr>
          <w:p w14:paraId="3AADD303">
            <w:pPr>
              <w:pStyle w:val="8"/>
              <w:bidi w:val="0"/>
              <w:rPr>
                <w:rFonts w:hint="default"/>
              </w:rPr>
            </w:pPr>
          </w:p>
        </w:tc>
        <w:tc>
          <w:tcPr>
            <w:tcW w:w="6392" w:type="dxa"/>
            <w:noWrap w:val="0"/>
            <w:vAlign w:val="center"/>
          </w:tcPr>
          <w:p w14:paraId="6F6EFBEE">
            <w:pPr>
              <w:pStyle w:val="8"/>
              <w:bidi w:val="0"/>
              <w:jc w:val="left"/>
              <w:rPr>
                <w:rFonts w:hint="default"/>
                <w:lang w:eastAsia="zh-CN"/>
              </w:rPr>
            </w:pPr>
            <w:r>
              <w:rPr>
                <w:rFonts w:hint="default"/>
              </w:rPr>
              <w:t>工厂的单位用地面积产能应不低于行业平均水平</w:t>
            </w:r>
            <w:r>
              <w:rPr>
                <w:rFonts w:hint="default"/>
                <w:lang w:eastAsia="zh-CN"/>
              </w:rPr>
              <w:t>；</w:t>
            </w:r>
            <w:r>
              <w:rPr>
                <w:rFonts w:hint="default"/>
              </w:rPr>
              <w:t>或：工厂的单位用地面积产值不低于地方发布的单位用地面积产值的要求；未发布单位用地面积产值的地区，单位用地面积产值应超过本年度所在省市的单位用地面积产值</w:t>
            </w:r>
            <w:r>
              <w:rPr>
                <w:rFonts w:hint="default"/>
                <w:lang w:eastAsia="zh-CN"/>
              </w:rPr>
              <w:t>。</w:t>
            </w:r>
          </w:p>
        </w:tc>
        <w:tc>
          <w:tcPr>
            <w:tcW w:w="2407" w:type="dxa"/>
            <w:vMerge w:val="restart"/>
            <w:noWrap w:val="0"/>
            <w:vAlign w:val="center"/>
          </w:tcPr>
          <w:p w14:paraId="7BE66817">
            <w:pPr>
              <w:pStyle w:val="8"/>
              <w:bidi w:val="0"/>
              <w:rPr>
                <w:rFonts w:hint="default"/>
              </w:rPr>
            </w:pPr>
            <w:r>
              <w:rPr>
                <w:rFonts w:hint="default"/>
              </w:rPr>
              <w:t>　</w:t>
            </w:r>
          </w:p>
        </w:tc>
        <w:tc>
          <w:tcPr>
            <w:tcW w:w="1275" w:type="dxa"/>
            <w:noWrap w:val="0"/>
            <w:vAlign w:val="center"/>
          </w:tcPr>
          <w:p w14:paraId="40665371">
            <w:pPr>
              <w:pStyle w:val="8"/>
              <w:bidi w:val="0"/>
              <w:rPr>
                <w:rFonts w:hint="default"/>
              </w:rPr>
            </w:pPr>
            <w:r>
              <w:rPr>
                <w:rFonts w:hint="default"/>
                <w:lang w:eastAsia="zh-CN"/>
              </w:rPr>
              <w:t>必选</w:t>
            </w:r>
          </w:p>
        </w:tc>
        <w:tc>
          <w:tcPr>
            <w:tcW w:w="851" w:type="dxa"/>
            <w:noWrap w:val="0"/>
            <w:vAlign w:val="center"/>
          </w:tcPr>
          <w:p w14:paraId="75F0DE04">
            <w:pPr>
              <w:pStyle w:val="8"/>
              <w:bidi w:val="0"/>
              <w:rPr>
                <w:rFonts w:hint="default"/>
              </w:rPr>
            </w:pPr>
            <w:r>
              <w:rPr>
                <w:rFonts w:hint="default"/>
                <w:lang w:val="en-US" w:eastAsia="zh-CN"/>
              </w:rPr>
              <w:t>3</w:t>
            </w:r>
          </w:p>
        </w:tc>
        <w:tc>
          <w:tcPr>
            <w:tcW w:w="711" w:type="dxa"/>
            <w:vMerge w:val="continue"/>
            <w:noWrap w:val="0"/>
            <w:vAlign w:val="center"/>
          </w:tcPr>
          <w:p w14:paraId="61F462DD">
            <w:pPr>
              <w:pStyle w:val="8"/>
              <w:bidi w:val="0"/>
              <w:rPr>
                <w:rFonts w:hint="default"/>
              </w:rPr>
            </w:pPr>
          </w:p>
        </w:tc>
        <w:tc>
          <w:tcPr>
            <w:tcW w:w="770" w:type="dxa"/>
            <w:noWrap w:val="0"/>
            <w:vAlign w:val="center"/>
          </w:tcPr>
          <w:p w14:paraId="74683190">
            <w:pPr>
              <w:pStyle w:val="8"/>
              <w:bidi w:val="0"/>
              <w:rPr>
                <w:rFonts w:hint="default"/>
              </w:rPr>
            </w:pPr>
            <w:r>
              <w:rPr>
                <w:rFonts w:hint="default"/>
              </w:rPr>
              <w:t>　</w:t>
            </w:r>
          </w:p>
        </w:tc>
      </w:tr>
      <w:tr w14:paraId="55AC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3D71EBE">
            <w:pPr>
              <w:pStyle w:val="8"/>
              <w:bidi w:val="0"/>
              <w:rPr>
                <w:rFonts w:hint="default"/>
              </w:rPr>
            </w:pPr>
          </w:p>
        </w:tc>
        <w:tc>
          <w:tcPr>
            <w:tcW w:w="787" w:type="dxa"/>
            <w:vMerge w:val="continue"/>
            <w:noWrap w:val="0"/>
            <w:vAlign w:val="center"/>
          </w:tcPr>
          <w:p w14:paraId="4D87BD2A">
            <w:pPr>
              <w:pStyle w:val="8"/>
              <w:bidi w:val="0"/>
              <w:rPr>
                <w:rFonts w:hint="default"/>
              </w:rPr>
            </w:pPr>
          </w:p>
        </w:tc>
        <w:tc>
          <w:tcPr>
            <w:tcW w:w="920" w:type="dxa"/>
            <w:vMerge w:val="continue"/>
            <w:noWrap w:val="0"/>
            <w:vAlign w:val="center"/>
          </w:tcPr>
          <w:p w14:paraId="2DB48379">
            <w:pPr>
              <w:pStyle w:val="8"/>
              <w:bidi w:val="0"/>
              <w:rPr>
                <w:rFonts w:hint="default"/>
              </w:rPr>
            </w:pPr>
          </w:p>
        </w:tc>
        <w:tc>
          <w:tcPr>
            <w:tcW w:w="6392" w:type="dxa"/>
            <w:noWrap w:val="0"/>
            <w:vAlign w:val="center"/>
          </w:tcPr>
          <w:p w14:paraId="1AC6FE94">
            <w:pPr>
              <w:pStyle w:val="8"/>
              <w:bidi w:val="0"/>
              <w:jc w:val="left"/>
              <w:rPr>
                <w:rFonts w:hint="default"/>
                <w:lang w:eastAsia="zh-CN"/>
              </w:rPr>
            </w:pPr>
            <w:r>
              <w:rPr>
                <w:rFonts w:hint="default"/>
              </w:rPr>
              <w:t>工厂的单位用地面积产能指标优于行业前20%</w:t>
            </w:r>
            <w:r>
              <w:rPr>
                <w:rFonts w:hint="default"/>
                <w:lang w:eastAsia="zh-CN"/>
              </w:rPr>
              <w:t>，前</w:t>
            </w:r>
            <w:r>
              <w:rPr>
                <w:rFonts w:hint="default"/>
                <w:lang w:val="en-US" w:eastAsia="zh-CN"/>
              </w:rPr>
              <w:t>5%为满分</w:t>
            </w:r>
            <w:r>
              <w:rPr>
                <w:rFonts w:hint="default"/>
                <w:lang w:eastAsia="zh-CN"/>
              </w:rPr>
              <w:t>；</w:t>
            </w:r>
            <w:r>
              <w:rPr>
                <w:rFonts w:hint="default"/>
              </w:rPr>
              <w:t>或：单位用地面积产值达到地方发布的单位用地面积产值的要求的1.</w:t>
            </w:r>
            <w:r>
              <w:rPr>
                <w:rFonts w:hint="default"/>
                <w:lang w:val="en-US" w:eastAsia="zh-CN"/>
              </w:rPr>
              <w:t>2</w:t>
            </w:r>
            <w:r>
              <w:rPr>
                <w:rFonts w:hint="default"/>
              </w:rPr>
              <w:t>倍及以上</w:t>
            </w:r>
            <w:r>
              <w:rPr>
                <w:rFonts w:hint="default"/>
                <w:lang w:eastAsia="zh-CN"/>
              </w:rPr>
              <w:t>，</w:t>
            </w:r>
            <w:r>
              <w:rPr>
                <w:rFonts w:hint="default"/>
                <w:lang w:val="en-US" w:eastAsia="zh-CN"/>
              </w:rPr>
              <w:t>2倍为满分</w:t>
            </w:r>
            <w:r>
              <w:rPr>
                <w:rFonts w:hint="default"/>
              </w:rPr>
              <w:t>；未发布单位用地面积产值的地区，单位用地面积产值应达到本年度所在省市的单位用地面积产值1.2倍及以上</w:t>
            </w:r>
            <w:r>
              <w:rPr>
                <w:rFonts w:hint="default"/>
                <w:lang w:eastAsia="zh-CN"/>
              </w:rPr>
              <w:t>，</w:t>
            </w:r>
            <w:r>
              <w:rPr>
                <w:rFonts w:hint="default"/>
                <w:lang w:val="en-US" w:eastAsia="zh-CN"/>
              </w:rPr>
              <w:t>2倍为满分</w:t>
            </w:r>
            <w:r>
              <w:rPr>
                <w:rFonts w:hint="default"/>
                <w:lang w:eastAsia="zh-CN"/>
              </w:rPr>
              <w:t>。</w:t>
            </w:r>
          </w:p>
        </w:tc>
        <w:tc>
          <w:tcPr>
            <w:tcW w:w="2407" w:type="dxa"/>
            <w:vMerge w:val="continue"/>
            <w:noWrap w:val="0"/>
            <w:vAlign w:val="center"/>
          </w:tcPr>
          <w:p w14:paraId="7A652BB3">
            <w:pPr>
              <w:pStyle w:val="8"/>
              <w:bidi w:val="0"/>
              <w:rPr>
                <w:rFonts w:hint="default"/>
              </w:rPr>
            </w:pPr>
          </w:p>
        </w:tc>
        <w:tc>
          <w:tcPr>
            <w:tcW w:w="1275" w:type="dxa"/>
            <w:noWrap w:val="0"/>
            <w:vAlign w:val="center"/>
          </w:tcPr>
          <w:p w14:paraId="63F2F616">
            <w:pPr>
              <w:pStyle w:val="8"/>
              <w:bidi w:val="0"/>
              <w:rPr>
                <w:rFonts w:hint="default"/>
              </w:rPr>
            </w:pPr>
            <w:r>
              <w:rPr>
                <w:rFonts w:hint="default"/>
                <w:lang w:eastAsia="zh-CN"/>
              </w:rPr>
              <w:t>可选</w:t>
            </w:r>
          </w:p>
        </w:tc>
        <w:tc>
          <w:tcPr>
            <w:tcW w:w="851" w:type="dxa"/>
            <w:noWrap w:val="0"/>
            <w:vAlign w:val="center"/>
          </w:tcPr>
          <w:p w14:paraId="4C9909C6">
            <w:pPr>
              <w:pStyle w:val="8"/>
              <w:bidi w:val="0"/>
              <w:rPr>
                <w:rFonts w:hint="default"/>
              </w:rPr>
            </w:pPr>
            <w:r>
              <w:rPr>
                <w:rFonts w:hint="default"/>
                <w:lang w:val="en-US" w:eastAsia="zh-CN"/>
              </w:rPr>
              <w:t>2</w:t>
            </w:r>
          </w:p>
        </w:tc>
        <w:tc>
          <w:tcPr>
            <w:tcW w:w="711" w:type="dxa"/>
            <w:vMerge w:val="continue"/>
            <w:noWrap w:val="0"/>
            <w:vAlign w:val="center"/>
          </w:tcPr>
          <w:p w14:paraId="2921C3B9">
            <w:pPr>
              <w:pStyle w:val="8"/>
              <w:bidi w:val="0"/>
              <w:rPr>
                <w:rFonts w:hint="default"/>
              </w:rPr>
            </w:pPr>
          </w:p>
        </w:tc>
        <w:tc>
          <w:tcPr>
            <w:tcW w:w="770" w:type="dxa"/>
            <w:noWrap w:val="0"/>
            <w:vAlign w:val="center"/>
          </w:tcPr>
          <w:p w14:paraId="74D07A3B">
            <w:pPr>
              <w:pStyle w:val="8"/>
              <w:bidi w:val="0"/>
              <w:rPr>
                <w:rFonts w:hint="default"/>
              </w:rPr>
            </w:pPr>
            <w:r>
              <w:rPr>
                <w:rFonts w:hint="default"/>
              </w:rPr>
              <w:t>　</w:t>
            </w:r>
          </w:p>
        </w:tc>
      </w:tr>
      <w:tr w14:paraId="7AC7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37A43FC7">
            <w:pPr>
              <w:pStyle w:val="8"/>
              <w:bidi w:val="0"/>
              <w:rPr>
                <w:rFonts w:hint="default"/>
              </w:rPr>
            </w:pPr>
          </w:p>
        </w:tc>
        <w:tc>
          <w:tcPr>
            <w:tcW w:w="787" w:type="dxa"/>
            <w:vMerge w:val="continue"/>
            <w:noWrap w:val="0"/>
            <w:vAlign w:val="center"/>
          </w:tcPr>
          <w:p w14:paraId="1EF17B4C">
            <w:pPr>
              <w:pStyle w:val="8"/>
              <w:bidi w:val="0"/>
              <w:rPr>
                <w:rFonts w:hint="default"/>
              </w:rPr>
            </w:pPr>
          </w:p>
        </w:tc>
        <w:tc>
          <w:tcPr>
            <w:tcW w:w="920" w:type="dxa"/>
            <w:vMerge w:val="restart"/>
            <w:noWrap w:val="0"/>
            <w:vAlign w:val="center"/>
          </w:tcPr>
          <w:p w14:paraId="48A30602">
            <w:pPr>
              <w:pStyle w:val="8"/>
              <w:bidi w:val="0"/>
              <w:rPr>
                <w:rFonts w:hint="default"/>
                <w:lang w:eastAsia="zh-CN"/>
              </w:rPr>
            </w:pPr>
            <w:r>
              <w:rPr>
                <w:rFonts w:hint="default"/>
                <w:lang w:eastAsia="zh-CN"/>
              </w:rPr>
              <w:t>原料无害化</w:t>
            </w:r>
          </w:p>
        </w:tc>
        <w:tc>
          <w:tcPr>
            <w:tcW w:w="6392" w:type="dxa"/>
            <w:noWrap w:val="0"/>
            <w:vAlign w:val="center"/>
          </w:tcPr>
          <w:p w14:paraId="501EBB68">
            <w:pPr>
              <w:pStyle w:val="8"/>
              <w:bidi w:val="0"/>
              <w:jc w:val="left"/>
              <w:rPr>
                <w:rFonts w:hint="default"/>
              </w:rPr>
            </w:pPr>
            <w:r>
              <w:rPr>
                <w:rFonts w:hint="default"/>
              </w:rPr>
              <w:t>按照GB/T 36132附录A识别、统计和计算工厂的绿色物料使用情况。</w:t>
            </w:r>
          </w:p>
        </w:tc>
        <w:tc>
          <w:tcPr>
            <w:tcW w:w="2407" w:type="dxa"/>
            <w:noWrap w:val="0"/>
            <w:vAlign w:val="center"/>
          </w:tcPr>
          <w:p w14:paraId="6237B262">
            <w:pPr>
              <w:pStyle w:val="8"/>
              <w:bidi w:val="0"/>
              <w:rPr>
                <w:rFonts w:hint="default"/>
              </w:rPr>
            </w:pPr>
            <w:r>
              <w:rPr>
                <w:rFonts w:hint="default"/>
              </w:rPr>
              <w:t>　</w:t>
            </w:r>
          </w:p>
        </w:tc>
        <w:tc>
          <w:tcPr>
            <w:tcW w:w="1275" w:type="dxa"/>
            <w:noWrap w:val="0"/>
            <w:vAlign w:val="center"/>
          </w:tcPr>
          <w:p w14:paraId="3EF9C254">
            <w:pPr>
              <w:pStyle w:val="8"/>
              <w:bidi w:val="0"/>
              <w:rPr>
                <w:rFonts w:hint="default"/>
                <w:lang w:eastAsia="zh-CN"/>
              </w:rPr>
            </w:pPr>
            <w:r>
              <w:rPr>
                <w:rFonts w:hint="default"/>
                <w:lang w:eastAsia="zh-CN"/>
              </w:rPr>
              <w:t>必选</w:t>
            </w:r>
          </w:p>
        </w:tc>
        <w:tc>
          <w:tcPr>
            <w:tcW w:w="851" w:type="dxa"/>
            <w:noWrap w:val="0"/>
            <w:vAlign w:val="center"/>
          </w:tcPr>
          <w:p w14:paraId="2B7A7722">
            <w:pPr>
              <w:pStyle w:val="8"/>
              <w:bidi w:val="0"/>
              <w:rPr>
                <w:rFonts w:hint="default"/>
                <w:lang w:val="en-US" w:eastAsia="zh-CN"/>
              </w:rPr>
            </w:pPr>
            <w:r>
              <w:rPr>
                <w:rFonts w:hint="default"/>
                <w:lang w:val="en-US" w:eastAsia="zh-CN"/>
              </w:rPr>
              <w:t>6</w:t>
            </w:r>
          </w:p>
        </w:tc>
        <w:tc>
          <w:tcPr>
            <w:tcW w:w="711" w:type="dxa"/>
            <w:vMerge w:val="continue"/>
            <w:noWrap w:val="0"/>
            <w:vAlign w:val="center"/>
          </w:tcPr>
          <w:p w14:paraId="17DB971C">
            <w:pPr>
              <w:pStyle w:val="8"/>
              <w:bidi w:val="0"/>
              <w:rPr>
                <w:rFonts w:hint="default"/>
              </w:rPr>
            </w:pPr>
          </w:p>
        </w:tc>
        <w:tc>
          <w:tcPr>
            <w:tcW w:w="770" w:type="dxa"/>
            <w:noWrap w:val="0"/>
            <w:vAlign w:val="center"/>
          </w:tcPr>
          <w:p w14:paraId="5FADEBD9">
            <w:pPr>
              <w:pStyle w:val="8"/>
              <w:bidi w:val="0"/>
              <w:rPr>
                <w:rFonts w:hint="default"/>
              </w:rPr>
            </w:pPr>
            <w:r>
              <w:rPr>
                <w:rFonts w:hint="default"/>
              </w:rPr>
              <w:t>　</w:t>
            </w:r>
          </w:p>
        </w:tc>
      </w:tr>
      <w:tr w14:paraId="3D52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093BD5C">
            <w:pPr>
              <w:pStyle w:val="8"/>
              <w:bidi w:val="0"/>
              <w:rPr>
                <w:rFonts w:hint="default"/>
              </w:rPr>
            </w:pPr>
          </w:p>
        </w:tc>
        <w:tc>
          <w:tcPr>
            <w:tcW w:w="787" w:type="dxa"/>
            <w:vMerge w:val="continue"/>
            <w:noWrap w:val="0"/>
            <w:vAlign w:val="center"/>
          </w:tcPr>
          <w:p w14:paraId="73D49C56">
            <w:pPr>
              <w:pStyle w:val="8"/>
              <w:bidi w:val="0"/>
              <w:rPr>
                <w:rFonts w:hint="default"/>
              </w:rPr>
            </w:pPr>
          </w:p>
        </w:tc>
        <w:tc>
          <w:tcPr>
            <w:tcW w:w="920" w:type="dxa"/>
            <w:vMerge w:val="continue"/>
            <w:noWrap w:val="0"/>
            <w:vAlign w:val="center"/>
          </w:tcPr>
          <w:p w14:paraId="7D556013">
            <w:pPr>
              <w:pStyle w:val="8"/>
              <w:bidi w:val="0"/>
              <w:rPr>
                <w:rFonts w:hint="default"/>
              </w:rPr>
            </w:pPr>
          </w:p>
        </w:tc>
        <w:tc>
          <w:tcPr>
            <w:tcW w:w="6392" w:type="dxa"/>
            <w:noWrap w:val="0"/>
            <w:vAlign w:val="center"/>
          </w:tcPr>
          <w:p w14:paraId="60BA1860">
            <w:pPr>
              <w:pStyle w:val="8"/>
              <w:bidi w:val="0"/>
              <w:jc w:val="left"/>
              <w:rPr>
                <w:rFonts w:hint="default"/>
              </w:rPr>
            </w:pPr>
            <w:r>
              <w:rPr>
                <w:rFonts w:hint="default"/>
              </w:rPr>
              <w:t>按照GB/T 36132附录A</w:t>
            </w:r>
            <w:r>
              <w:rPr>
                <w:rFonts w:hint="default"/>
                <w:lang w:eastAsia="zh-CN"/>
              </w:rPr>
              <w:t>计算工厂主要物料的绿</w:t>
            </w:r>
            <w:r>
              <w:rPr>
                <w:rFonts w:hint="default"/>
              </w:rPr>
              <w:t>色物料使用率达30%及以上。</w:t>
            </w:r>
          </w:p>
        </w:tc>
        <w:tc>
          <w:tcPr>
            <w:tcW w:w="2407" w:type="dxa"/>
            <w:noWrap w:val="0"/>
            <w:vAlign w:val="center"/>
          </w:tcPr>
          <w:p w14:paraId="1ADF0F77">
            <w:pPr>
              <w:pStyle w:val="8"/>
              <w:bidi w:val="0"/>
              <w:rPr>
                <w:rFonts w:hint="default"/>
              </w:rPr>
            </w:pPr>
            <w:r>
              <w:rPr>
                <w:rFonts w:hint="default"/>
              </w:rPr>
              <w:t>　</w:t>
            </w:r>
          </w:p>
        </w:tc>
        <w:tc>
          <w:tcPr>
            <w:tcW w:w="1275" w:type="dxa"/>
            <w:noWrap w:val="0"/>
            <w:vAlign w:val="center"/>
          </w:tcPr>
          <w:p w14:paraId="1AD2EC80">
            <w:pPr>
              <w:pStyle w:val="8"/>
              <w:bidi w:val="0"/>
              <w:rPr>
                <w:rFonts w:hint="default"/>
                <w:lang w:eastAsia="zh-CN"/>
              </w:rPr>
            </w:pPr>
            <w:r>
              <w:rPr>
                <w:rFonts w:hint="default"/>
                <w:lang w:eastAsia="zh-CN"/>
              </w:rPr>
              <w:t>可选</w:t>
            </w:r>
          </w:p>
        </w:tc>
        <w:tc>
          <w:tcPr>
            <w:tcW w:w="851" w:type="dxa"/>
            <w:noWrap w:val="0"/>
            <w:vAlign w:val="center"/>
          </w:tcPr>
          <w:p w14:paraId="3BC21A01">
            <w:pPr>
              <w:pStyle w:val="8"/>
              <w:bidi w:val="0"/>
              <w:rPr>
                <w:rFonts w:hint="default"/>
                <w:lang w:val="en-US" w:eastAsia="zh-CN"/>
              </w:rPr>
            </w:pPr>
            <w:r>
              <w:rPr>
                <w:rFonts w:hint="default"/>
                <w:lang w:val="en-US" w:eastAsia="zh-CN"/>
              </w:rPr>
              <w:t>4</w:t>
            </w:r>
          </w:p>
        </w:tc>
        <w:tc>
          <w:tcPr>
            <w:tcW w:w="711" w:type="dxa"/>
            <w:vMerge w:val="continue"/>
            <w:noWrap w:val="0"/>
            <w:vAlign w:val="center"/>
          </w:tcPr>
          <w:p w14:paraId="0EB5772F">
            <w:pPr>
              <w:pStyle w:val="8"/>
              <w:bidi w:val="0"/>
              <w:rPr>
                <w:rFonts w:hint="default"/>
              </w:rPr>
            </w:pPr>
          </w:p>
        </w:tc>
        <w:tc>
          <w:tcPr>
            <w:tcW w:w="770" w:type="dxa"/>
            <w:noWrap w:val="0"/>
            <w:vAlign w:val="center"/>
          </w:tcPr>
          <w:p w14:paraId="0DA39ED2">
            <w:pPr>
              <w:pStyle w:val="8"/>
              <w:bidi w:val="0"/>
              <w:rPr>
                <w:rFonts w:hint="default"/>
              </w:rPr>
            </w:pPr>
            <w:r>
              <w:rPr>
                <w:rFonts w:hint="default"/>
              </w:rPr>
              <w:t>　</w:t>
            </w:r>
          </w:p>
        </w:tc>
      </w:tr>
      <w:tr w14:paraId="20A6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EA2E932">
            <w:pPr>
              <w:pStyle w:val="8"/>
              <w:bidi w:val="0"/>
              <w:rPr>
                <w:rFonts w:hint="default"/>
              </w:rPr>
            </w:pPr>
          </w:p>
        </w:tc>
        <w:tc>
          <w:tcPr>
            <w:tcW w:w="787" w:type="dxa"/>
            <w:vMerge w:val="continue"/>
            <w:noWrap w:val="0"/>
            <w:vAlign w:val="center"/>
          </w:tcPr>
          <w:p w14:paraId="3C74D886">
            <w:pPr>
              <w:pStyle w:val="8"/>
              <w:bidi w:val="0"/>
              <w:rPr>
                <w:rFonts w:hint="default"/>
              </w:rPr>
            </w:pPr>
          </w:p>
        </w:tc>
        <w:tc>
          <w:tcPr>
            <w:tcW w:w="920" w:type="dxa"/>
            <w:vMerge w:val="restart"/>
            <w:noWrap w:val="0"/>
            <w:vAlign w:val="center"/>
          </w:tcPr>
          <w:p w14:paraId="55E811F7">
            <w:pPr>
              <w:pStyle w:val="8"/>
              <w:bidi w:val="0"/>
              <w:rPr>
                <w:rFonts w:hint="default"/>
              </w:rPr>
            </w:pPr>
            <w:r>
              <w:rPr>
                <w:rFonts w:hint="default"/>
              </w:rPr>
              <w:t>生产洁净化</w:t>
            </w:r>
          </w:p>
        </w:tc>
        <w:tc>
          <w:tcPr>
            <w:tcW w:w="6392" w:type="dxa"/>
            <w:noWrap w:val="0"/>
            <w:vAlign w:val="center"/>
          </w:tcPr>
          <w:p w14:paraId="03A6B5C9">
            <w:pPr>
              <w:pStyle w:val="8"/>
              <w:bidi w:val="0"/>
              <w:jc w:val="left"/>
              <w:rPr>
                <w:rFonts w:hint="default"/>
              </w:rPr>
            </w:pPr>
            <w:r>
              <w:rPr>
                <w:rFonts w:hint="default"/>
              </w:rPr>
              <w:t>按照GB/T 36132附录A计算单位产品主要污染物产生量（包括化学需氧量、氨氮、二氧化硫、氮氧化物等）</w:t>
            </w:r>
            <w:r>
              <w:rPr>
                <w:rFonts w:hint="default"/>
                <w:lang w:eastAsia="zh-CN"/>
              </w:rPr>
              <w:t>，指标</w:t>
            </w:r>
            <w:r>
              <w:rPr>
                <w:rFonts w:hint="default"/>
              </w:rPr>
              <w:t>应不高于行业平均水平。（装备、电子、电器等离散制造业可采用单位产值或单位工业增加值指标。）</w:t>
            </w:r>
          </w:p>
        </w:tc>
        <w:tc>
          <w:tcPr>
            <w:tcW w:w="2407" w:type="dxa"/>
            <w:vMerge w:val="restart"/>
            <w:noWrap w:val="0"/>
            <w:vAlign w:val="center"/>
          </w:tcPr>
          <w:p w14:paraId="455F750E">
            <w:pPr>
              <w:pStyle w:val="8"/>
              <w:bidi w:val="0"/>
              <w:rPr>
                <w:rFonts w:hint="default"/>
              </w:rPr>
            </w:pPr>
            <w:r>
              <w:rPr>
                <w:rFonts w:hint="default"/>
              </w:rPr>
              <w:t>　</w:t>
            </w:r>
          </w:p>
        </w:tc>
        <w:tc>
          <w:tcPr>
            <w:tcW w:w="1275" w:type="dxa"/>
            <w:noWrap w:val="0"/>
            <w:vAlign w:val="center"/>
          </w:tcPr>
          <w:p w14:paraId="594C530F">
            <w:pPr>
              <w:pStyle w:val="8"/>
              <w:bidi w:val="0"/>
              <w:rPr>
                <w:rFonts w:hint="default"/>
              </w:rPr>
            </w:pPr>
            <w:r>
              <w:rPr>
                <w:rFonts w:hint="default"/>
                <w:lang w:eastAsia="zh-CN"/>
              </w:rPr>
              <w:t>必选</w:t>
            </w:r>
          </w:p>
        </w:tc>
        <w:tc>
          <w:tcPr>
            <w:tcW w:w="851" w:type="dxa"/>
            <w:noWrap w:val="0"/>
            <w:vAlign w:val="center"/>
          </w:tcPr>
          <w:p w14:paraId="7D3C5448">
            <w:pPr>
              <w:pStyle w:val="8"/>
              <w:bidi w:val="0"/>
              <w:rPr>
                <w:rFonts w:hint="default"/>
              </w:rPr>
            </w:pPr>
            <w:r>
              <w:rPr>
                <w:rFonts w:hint="default"/>
              </w:rPr>
              <w:t>6</w:t>
            </w:r>
          </w:p>
        </w:tc>
        <w:tc>
          <w:tcPr>
            <w:tcW w:w="711" w:type="dxa"/>
            <w:vMerge w:val="continue"/>
            <w:noWrap w:val="0"/>
            <w:vAlign w:val="center"/>
          </w:tcPr>
          <w:p w14:paraId="2E77F167">
            <w:pPr>
              <w:pStyle w:val="8"/>
              <w:bidi w:val="0"/>
              <w:rPr>
                <w:rFonts w:hint="default"/>
              </w:rPr>
            </w:pPr>
          </w:p>
        </w:tc>
        <w:tc>
          <w:tcPr>
            <w:tcW w:w="770" w:type="dxa"/>
            <w:noWrap w:val="0"/>
            <w:vAlign w:val="center"/>
          </w:tcPr>
          <w:p w14:paraId="4C792C31">
            <w:pPr>
              <w:pStyle w:val="8"/>
              <w:bidi w:val="0"/>
              <w:rPr>
                <w:rFonts w:hint="default"/>
              </w:rPr>
            </w:pPr>
            <w:r>
              <w:rPr>
                <w:rFonts w:hint="default"/>
              </w:rPr>
              <w:t>　</w:t>
            </w:r>
          </w:p>
        </w:tc>
      </w:tr>
      <w:tr w14:paraId="1108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018BE3A9">
            <w:pPr>
              <w:pStyle w:val="8"/>
              <w:bidi w:val="0"/>
              <w:rPr>
                <w:rFonts w:hint="default"/>
              </w:rPr>
            </w:pPr>
          </w:p>
        </w:tc>
        <w:tc>
          <w:tcPr>
            <w:tcW w:w="787" w:type="dxa"/>
            <w:vMerge w:val="continue"/>
            <w:noWrap w:val="0"/>
            <w:vAlign w:val="center"/>
          </w:tcPr>
          <w:p w14:paraId="3B36BDE4">
            <w:pPr>
              <w:pStyle w:val="8"/>
              <w:bidi w:val="0"/>
              <w:rPr>
                <w:rFonts w:hint="default"/>
              </w:rPr>
            </w:pPr>
          </w:p>
        </w:tc>
        <w:tc>
          <w:tcPr>
            <w:tcW w:w="920" w:type="dxa"/>
            <w:vMerge w:val="continue"/>
            <w:noWrap w:val="0"/>
            <w:vAlign w:val="center"/>
          </w:tcPr>
          <w:p w14:paraId="075ED4CC">
            <w:pPr>
              <w:pStyle w:val="8"/>
              <w:bidi w:val="0"/>
              <w:rPr>
                <w:rFonts w:hint="default"/>
              </w:rPr>
            </w:pPr>
          </w:p>
        </w:tc>
        <w:tc>
          <w:tcPr>
            <w:tcW w:w="6392" w:type="dxa"/>
            <w:noWrap w:val="0"/>
            <w:vAlign w:val="center"/>
          </w:tcPr>
          <w:p w14:paraId="4E170C61">
            <w:pPr>
              <w:pStyle w:val="8"/>
              <w:bidi w:val="0"/>
              <w:jc w:val="left"/>
              <w:rPr>
                <w:rFonts w:hint="default"/>
              </w:rPr>
            </w:pPr>
            <w:r>
              <w:rPr>
                <w:rFonts w:hint="default"/>
              </w:rPr>
              <w:t>按照GB/T 36132附录A计算单位产品主要污染物产生量（包括化学需氧量、氨氮、二氧化硫、氮氧化物等）</w:t>
            </w:r>
            <w:r>
              <w:rPr>
                <w:rFonts w:hint="default"/>
                <w:lang w:eastAsia="zh-CN"/>
              </w:rPr>
              <w:t>，指标</w:t>
            </w:r>
            <w:r>
              <w:rPr>
                <w:rFonts w:hint="default"/>
              </w:rPr>
              <w:t>优于行业前20%水平。（装备、电子、电器等离散制造业可采用单位产值或单位工业增加值指标。）前5%为满分。</w:t>
            </w:r>
          </w:p>
        </w:tc>
        <w:tc>
          <w:tcPr>
            <w:tcW w:w="2407" w:type="dxa"/>
            <w:vMerge w:val="continue"/>
            <w:noWrap w:val="0"/>
            <w:vAlign w:val="center"/>
          </w:tcPr>
          <w:p w14:paraId="08B9BDD4">
            <w:pPr>
              <w:pStyle w:val="8"/>
              <w:bidi w:val="0"/>
              <w:rPr>
                <w:rFonts w:hint="default"/>
              </w:rPr>
            </w:pPr>
          </w:p>
        </w:tc>
        <w:tc>
          <w:tcPr>
            <w:tcW w:w="1275" w:type="dxa"/>
            <w:noWrap w:val="0"/>
            <w:vAlign w:val="center"/>
          </w:tcPr>
          <w:p w14:paraId="6BFDBECA">
            <w:pPr>
              <w:pStyle w:val="8"/>
              <w:bidi w:val="0"/>
              <w:rPr>
                <w:rFonts w:hint="default"/>
              </w:rPr>
            </w:pPr>
            <w:r>
              <w:rPr>
                <w:rFonts w:hint="default"/>
                <w:lang w:eastAsia="zh-CN"/>
              </w:rPr>
              <w:t>可选</w:t>
            </w:r>
          </w:p>
        </w:tc>
        <w:tc>
          <w:tcPr>
            <w:tcW w:w="851" w:type="dxa"/>
            <w:noWrap w:val="0"/>
            <w:vAlign w:val="center"/>
          </w:tcPr>
          <w:p w14:paraId="1CCF08C3">
            <w:pPr>
              <w:pStyle w:val="8"/>
              <w:bidi w:val="0"/>
              <w:rPr>
                <w:rFonts w:hint="default"/>
              </w:rPr>
            </w:pPr>
            <w:r>
              <w:rPr>
                <w:rFonts w:hint="default"/>
              </w:rPr>
              <w:t>4</w:t>
            </w:r>
          </w:p>
        </w:tc>
        <w:tc>
          <w:tcPr>
            <w:tcW w:w="711" w:type="dxa"/>
            <w:vMerge w:val="continue"/>
            <w:noWrap w:val="0"/>
            <w:vAlign w:val="center"/>
          </w:tcPr>
          <w:p w14:paraId="5DF36A91">
            <w:pPr>
              <w:pStyle w:val="8"/>
              <w:bidi w:val="0"/>
              <w:rPr>
                <w:rFonts w:hint="default"/>
              </w:rPr>
            </w:pPr>
          </w:p>
        </w:tc>
        <w:tc>
          <w:tcPr>
            <w:tcW w:w="770" w:type="dxa"/>
            <w:noWrap w:val="0"/>
            <w:vAlign w:val="center"/>
          </w:tcPr>
          <w:p w14:paraId="7BE36411">
            <w:pPr>
              <w:pStyle w:val="8"/>
              <w:bidi w:val="0"/>
              <w:rPr>
                <w:rFonts w:hint="default"/>
              </w:rPr>
            </w:pPr>
            <w:r>
              <w:rPr>
                <w:rFonts w:hint="default"/>
              </w:rPr>
              <w:t>　</w:t>
            </w:r>
          </w:p>
        </w:tc>
      </w:tr>
      <w:tr w14:paraId="0F88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0B0BB75">
            <w:pPr>
              <w:pStyle w:val="8"/>
              <w:bidi w:val="0"/>
              <w:rPr>
                <w:rFonts w:hint="default"/>
              </w:rPr>
            </w:pPr>
          </w:p>
        </w:tc>
        <w:tc>
          <w:tcPr>
            <w:tcW w:w="787" w:type="dxa"/>
            <w:vMerge w:val="continue"/>
            <w:noWrap w:val="0"/>
            <w:vAlign w:val="center"/>
          </w:tcPr>
          <w:p w14:paraId="31234C81">
            <w:pPr>
              <w:pStyle w:val="8"/>
              <w:bidi w:val="0"/>
              <w:rPr>
                <w:rFonts w:hint="default"/>
              </w:rPr>
            </w:pPr>
          </w:p>
        </w:tc>
        <w:tc>
          <w:tcPr>
            <w:tcW w:w="920" w:type="dxa"/>
            <w:vMerge w:val="continue"/>
            <w:noWrap w:val="0"/>
            <w:vAlign w:val="center"/>
          </w:tcPr>
          <w:p w14:paraId="380E3D67">
            <w:pPr>
              <w:pStyle w:val="8"/>
              <w:bidi w:val="0"/>
              <w:rPr>
                <w:rFonts w:hint="default"/>
              </w:rPr>
            </w:pPr>
          </w:p>
        </w:tc>
        <w:tc>
          <w:tcPr>
            <w:tcW w:w="6392" w:type="dxa"/>
            <w:noWrap w:val="0"/>
            <w:vAlign w:val="center"/>
          </w:tcPr>
          <w:p w14:paraId="20702414">
            <w:pPr>
              <w:pStyle w:val="8"/>
              <w:bidi w:val="0"/>
              <w:jc w:val="left"/>
              <w:rPr>
                <w:rFonts w:hint="default"/>
              </w:rPr>
            </w:pPr>
            <w:r>
              <w:rPr>
                <w:rFonts w:hint="default"/>
              </w:rPr>
              <w:t>按照GB/T 36132附录A计算单位产品废气产生量</w:t>
            </w:r>
            <w:r>
              <w:rPr>
                <w:rFonts w:hint="default"/>
                <w:lang w:eastAsia="zh-CN"/>
              </w:rPr>
              <w:t>，指标</w:t>
            </w:r>
            <w:r>
              <w:rPr>
                <w:rFonts w:hint="default"/>
              </w:rPr>
              <w:t>应不高于行业平均水平。（装备、电子、电器等离散制造业可采用单位产值或单位工业增加值指标。）</w:t>
            </w:r>
          </w:p>
        </w:tc>
        <w:tc>
          <w:tcPr>
            <w:tcW w:w="2407" w:type="dxa"/>
            <w:vMerge w:val="restart"/>
            <w:noWrap w:val="0"/>
            <w:vAlign w:val="center"/>
          </w:tcPr>
          <w:p w14:paraId="35F5E832">
            <w:pPr>
              <w:pStyle w:val="8"/>
              <w:bidi w:val="0"/>
              <w:rPr>
                <w:rFonts w:hint="default"/>
              </w:rPr>
            </w:pPr>
            <w:r>
              <w:rPr>
                <w:rFonts w:hint="default"/>
              </w:rPr>
              <w:t>　</w:t>
            </w:r>
          </w:p>
        </w:tc>
        <w:tc>
          <w:tcPr>
            <w:tcW w:w="1275" w:type="dxa"/>
            <w:noWrap w:val="0"/>
            <w:vAlign w:val="center"/>
          </w:tcPr>
          <w:p w14:paraId="6FC6838E">
            <w:pPr>
              <w:pStyle w:val="8"/>
              <w:bidi w:val="0"/>
              <w:rPr>
                <w:rFonts w:hint="default"/>
              </w:rPr>
            </w:pPr>
            <w:r>
              <w:rPr>
                <w:rFonts w:hint="default"/>
                <w:lang w:eastAsia="zh-CN"/>
              </w:rPr>
              <w:t>必选</w:t>
            </w:r>
          </w:p>
        </w:tc>
        <w:tc>
          <w:tcPr>
            <w:tcW w:w="851" w:type="dxa"/>
            <w:noWrap w:val="0"/>
            <w:vAlign w:val="center"/>
          </w:tcPr>
          <w:p w14:paraId="204136A3">
            <w:pPr>
              <w:pStyle w:val="8"/>
              <w:bidi w:val="0"/>
              <w:rPr>
                <w:rFonts w:hint="default"/>
              </w:rPr>
            </w:pPr>
            <w:r>
              <w:rPr>
                <w:rFonts w:hint="default"/>
              </w:rPr>
              <w:t>6</w:t>
            </w:r>
          </w:p>
        </w:tc>
        <w:tc>
          <w:tcPr>
            <w:tcW w:w="711" w:type="dxa"/>
            <w:vMerge w:val="continue"/>
            <w:noWrap w:val="0"/>
            <w:vAlign w:val="center"/>
          </w:tcPr>
          <w:p w14:paraId="645D357A">
            <w:pPr>
              <w:pStyle w:val="8"/>
              <w:bidi w:val="0"/>
              <w:rPr>
                <w:rFonts w:hint="default"/>
              </w:rPr>
            </w:pPr>
          </w:p>
        </w:tc>
        <w:tc>
          <w:tcPr>
            <w:tcW w:w="770" w:type="dxa"/>
            <w:noWrap w:val="0"/>
            <w:vAlign w:val="center"/>
          </w:tcPr>
          <w:p w14:paraId="4DEB2BBB">
            <w:pPr>
              <w:pStyle w:val="8"/>
              <w:bidi w:val="0"/>
              <w:rPr>
                <w:rFonts w:hint="default"/>
              </w:rPr>
            </w:pPr>
            <w:r>
              <w:rPr>
                <w:rFonts w:hint="default"/>
              </w:rPr>
              <w:t>　</w:t>
            </w:r>
          </w:p>
        </w:tc>
      </w:tr>
      <w:tr w14:paraId="3146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22E438C4">
            <w:pPr>
              <w:pStyle w:val="8"/>
              <w:bidi w:val="0"/>
              <w:rPr>
                <w:rFonts w:hint="default"/>
              </w:rPr>
            </w:pPr>
          </w:p>
        </w:tc>
        <w:tc>
          <w:tcPr>
            <w:tcW w:w="787" w:type="dxa"/>
            <w:vMerge w:val="continue"/>
            <w:noWrap w:val="0"/>
            <w:vAlign w:val="center"/>
          </w:tcPr>
          <w:p w14:paraId="3F01CD87">
            <w:pPr>
              <w:pStyle w:val="8"/>
              <w:bidi w:val="0"/>
              <w:rPr>
                <w:rFonts w:hint="default"/>
              </w:rPr>
            </w:pPr>
          </w:p>
        </w:tc>
        <w:tc>
          <w:tcPr>
            <w:tcW w:w="920" w:type="dxa"/>
            <w:vMerge w:val="continue"/>
            <w:noWrap w:val="0"/>
            <w:vAlign w:val="center"/>
          </w:tcPr>
          <w:p w14:paraId="2D968911">
            <w:pPr>
              <w:pStyle w:val="8"/>
              <w:bidi w:val="0"/>
              <w:rPr>
                <w:rFonts w:hint="default"/>
              </w:rPr>
            </w:pPr>
          </w:p>
        </w:tc>
        <w:tc>
          <w:tcPr>
            <w:tcW w:w="6392" w:type="dxa"/>
            <w:noWrap w:val="0"/>
            <w:vAlign w:val="center"/>
          </w:tcPr>
          <w:p w14:paraId="7C510939">
            <w:pPr>
              <w:pStyle w:val="8"/>
              <w:bidi w:val="0"/>
              <w:jc w:val="left"/>
              <w:rPr>
                <w:rFonts w:hint="default"/>
              </w:rPr>
            </w:pPr>
            <w:r>
              <w:rPr>
                <w:rFonts w:hint="default"/>
              </w:rPr>
              <w:t>按照GB/T 36132附录A计算单位产品废气产生量</w:t>
            </w:r>
            <w:r>
              <w:rPr>
                <w:rFonts w:hint="default"/>
                <w:lang w:eastAsia="zh-CN"/>
              </w:rPr>
              <w:t>，指标</w:t>
            </w:r>
            <w:r>
              <w:rPr>
                <w:rFonts w:hint="default"/>
              </w:rPr>
              <w:t>优于行业前20%水平。（装备、电子、电器等离散制造业可采用单位产值或单位工业增加值指标。）前5%为满分。</w:t>
            </w:r>
          </w:p>
        </w:tc>
        <w:tc>
          <w:tcPr>
            <w:tcW w:w="2407" w:type="dxa"/>
            <w:vMerge w:val="continue"/>
            <w:noWrap w:val="0"/>
            <w:vAlign w:val="center"/>
          </w:tcPr>
          <w:p w14:paraId="6AB22ADD">
            <w:pPr>
              <w:pStyle w:val="8"/>
              <w:bidi w:val="0"/>
              <w:rPr>
                <w:rFonts w:hint="default"/>
              </w:rPr>
            </w:pPr>
          </w:p>
        </w:tc>
        <w:tc>
          <w:tcPr>
            <w:tcW w:w="1275" w:type="dxa"/>
            <w:noWrap w:val="0"/>
            <w:vAlign w:val="center"/>
          </w:tcPr>
          <w:p w14:paraId="244050D0">
            <w:pPr>
              <w:pStyle w:val="8"/>
              <w:bidi w:val="0"/>
              <w:rPr>
                <w:rFonts w:hint="default"/>
              </w:rPr>
            </w:pPr>
            <w:r>
              <w:rPr>
                <w:rFonts w:hint="default"/>
                <w:lang w:eastAsia="zh-CN"/>
              </w:rPr>
              <w:t>可选</w:t>
            </w:r>
          </w:p>
        </w:tc>
        <w:tc>
          <w:tcPr>
            <w:tcW w:w="851" w:type="dxa"/>
            <w:noWrap w:val="0"/>
            <w:vAlign w:val="center"/>
          </w:tcPr>
          <w:p w14:paraId="16D2C0C3">
            <w:pPr>
              <w:pStyle w:val="8"/>
              <w:bidi w:val="0"/>
              <w:rPr>
                <w:rFonts w:hint="default"/>
              </w:rPr>
            </w:pPr>
            <w:r>
              <w:rPr>
                <w:rFonts w:hint="default"/>
              </w:rPr>
              <w:t>4</w:t>
            </w:r>
          </w:p>
        </w:tc>
        <w:tc>
          <w:tcPr>
            <w:tcW w:w="711" w:type="dxa"/>
            <w:vMerge w:val="continue"/>
            <w:noWrap w:val="0"/>
            <w:vAlign w:val="center"/>
          </w:tcPr>
          <w:p w14:paraId="05EC1D18">
            <w:pPr>
              <w:pStyle w:val="8"/>
              <w:bidi w:val="0"/>
              <w:rPr>
                <w:rFonts w:hint="default"/>
              </w:rPr>
            </w:pPr>
          </w:p>
        </w:tc>
        <w:tc>
          <w:tcPr>
            <w:tcW w:w="770" w:type="dxa"/>
            <w:noWrap w:val="0"/>
            <w:vAlign w:val="center"/>
          </w:tcPr>
          <w:p w14:paraId="23FEA9A4">
            <w:pPr>
              <w:pStyle w:val="8"/>
              <w:bidi w:val="0"/>
              <w:rPr>
                <w:rFonts w:hint="default"/>
              </w:rPr>
            </w:pPr>
            <w:r>
              <w:rPr>
                <w:rFonts w:hint="default"/>
              </w:rPr>
              <w:t>　</w:t>
            </w:r>
          </w:p>
        </w:tc>
      </w:tr>
      <w:tr w14:paraId="6AE6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9F1EF1D">
            <w:pPr>
              <w:pStyle w:val="8"/>
              <w:bidi w:val="0"/>
              <w:rPr>
                <w:rFonts w:hint="default"/>
              </w:rPr>
            </w:pPr>
          </w:p>
        </w:tc>
        <w:tc>
          <w:tcPr>
            <w:tcW w:w="787" w:type="dxa"/>
            <w:vMerge w:val="continue"/>
            <w:noWrap w:val="0"/>
            <w:vAlign w:val="center"/>
          </w:tcPr>
          <w:p w14:paraId="5DB26876">
            <w:pPr>
              <w:pStyle w:val="8"/>
              <w:bidi w:val="0"/>
              <w:rPr>
                <w:rFonts w:hint="default"/>
              </w:rPr>
            </w:pPr>
          </w:p>
        </w:tc>
        <w:tc>
          <w:tcPr>
            <w:tcW w:w="920" w:type="dxa"/>
            <w:vMerge w:val="continue"/>
            <w:noWrap w:val="0"/>
            <w:vAlign w:val="center"/>
          </w:tcPr>
          <w:p w14:paraId="76446AAC">
            <w:pPr>
              <w:pStyle w:val="8"/>
              <w:bidi w:val="0"/>
              <w:rPr>
                <w:rFonts w:hint="default"/>
              </w:rPr>
            </w:pPr>
          </w:p>
        </w:tc>
        <w:tc>
          <w:tcPr>
            <w:tcW w:w="6392" w:type="dxa"/>
            <w:noWrap w:val="0"/>
            <w:vAlign w:val="center"/>
          </w:tcPr>
          <w:p w14:paraId="277DC036">
            <w:pPr>
              <w:pStyle w:val="8"/>
              <w:bidi w:val="0"/>
              <w:jc w:val="left"/>
              <w:rPr>
                <w:rFonts w:hint="default"/>
              </w:rPr>
            </w:pPr>
            <w:r>
              <w:rPr>
                <w:rFonts w:hint="default"/>
              </w:rPr>
              <w:t>按照GB/T 36132附录A计算单位产品废水产生量</w:t>
            </w:r>
            <w:r>
              <w:rPr>
                <w:rFonts w:hint="default"/>
                <w:lang w:eastAsia="zh-CN"/>
              </w:rPr>
              <w:t>，指标</w:t>
            </w:r>
            <w:r>
              <w:rPr>
                <w:rFonts w:hint="default"/>
              </w:rPr>
              <w:t>应不高于行业平均水平。（装备、电子、电器等离散制造业可采用单位产值或单位工业增加值指标。）</w:t>
            </w:r>
          </w:p>
        </w:tc>
        <w:tc>
          <w:tcPr>
            <w:tcW w:w="2407" w:type="dxa"/>
            <w:vMerge w:val="restart"/>
            <w:noWrap w:val="0"/>
            <w:vAlign w:val="center"/>
          </w:tcPr>
          <w:p w14:paraId="2D7836C7">
            <w:pPr>
              <w:pStyle w:val="8"/>
              <w:bidi w:val="0"/>
              <w:rPr>
                <w:rFonts w:hint="default"/>
              </w:rPr>
            </w:pPr>
            <w:r>
              <w:rPr>
                <w:rFonts w:hint="default"/>
              </w:rPr>
              <w:t>　</w:t>
            </w:r>
          </w:p>
        </w:tc>
        <w:tc>
          <w:tcPr>
            <w:tcW w:w="1275" w:type="dxa"/>
            <w:noWrap w:val="0"/>
            <w:vAlign w:val="center"/>
          </w:tcPr>
          <w:p w14:paraId="505C968A">
            <w:pPr>
              <w:pStyle w:val="8"/>
              <w:bidi w:val="0"/>
              <w:rPr>
                <w:rFonts w:hint="default"/>
              </w:rPr>
            </w:pPr>
            <w:r>
              <w:rPr>
                <w:rFonts w:hint="default"/>
                <w:lang w:eastAsia="zh-CN"/>
              </w:rPr>
              <w:t>必选</w:t>
            </w:r>
          </w:p>
        </w:tc>
        <w:tc>
          <w:tcPr>
            <w:tcW w:w="851" w:type="dxa"/>
            <w:noWrap w:val="0"/>
            <w:vAlign w:val="center"/>
          </w:tcPr>
          <w:p w14:paraId="2461CD19">
            <w:pPr>
              <w:pStyle w:val="8"/>
              <w:bidi w:val="0"/>
              <w:rPr>
                <w:rFonts w:hint="default"/>
              </w:rPr>
            </w:pPr>
            <w:r>
              <w:rPr>
                <w:rFonts w:hint="default"/>
              </w:rPr>
              <w:t>6</w:t>
            </w:r>
          </w:p>
        </w:tc>
        <w:tc>
          <w:tcPr>
            <w:tcW w:w="711" w:type="dxa"/>
            <w:vMerge w:val="continue"/>
            <w:noWrap w:val="0"/>
            <w:vAlign w:val="center"/>
          </w:tcPr>
          <w:p w14:paraId="74A1B67F">
            <w:pPr>
              <w:pStyle w:val="8"/>
              <w:bidi w:val="0"/>
              <w:rPr>
                <w:rFonts w:hint="default"/>
              </w:rPr>
            </w:pPr>
          </w:p>
        </w:tc>
        <w:tc>
          <w:tcPr>
            <w:tcW w:w="770" w:type="dxa"/>
            <w:noWrap w:val="0"/>
            <w:vAlign w:val="center"/>
          </w:tcPr>
          <w:p w14:paraId="539EC490">
            <w:pPr>
              <w:pStyle w:val="8"/>
              <w:bidi w:val="0"/>
              <w:rPr>
                <w:rFonts w:hint="default"/>
              </w:rPr>
            </w:pPr>
            <w:r>
              <w:rPr>
                <w:rFonts w:hint="default"/>
              </w:rPr>
              <w:t>　</w:t>
            </w:r>
          </w:p>
        </w:tc>
      </w:tr>
      <w:tr w14:paraId="114B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1F3611EF">
            <w:pPr>
              <w:pStyle w:val="8"/>
              <w:bidi w:val="0"/>
              <w:rPr>
                <w:rFonts w:hint="default"/>
              </w:rPr>
            </w:pPr>
          </w:p>
        </w:tc>
        <w:tc>
          <w:tcPr>
            <w:tcW w:w="787" w:type="dxa"/>
            <w:vMerge w:val="continue"/>
            <w:noWrap w:val="0"/>
            <w:vAlign w:val="center"/>
          </w:tcPr>
          <w:p w14:paraId="20C76A10">
            <w:pPr>
              <w:pStyle w:val="8"/>
              <w:bidi w:val="0"/>
              <w:rPr>
                <w:rFonts w:hint="default"/>
              </w:rPr>
            </w:pPr>
          </w:p>
        </w:tc>
        <w:tc>
          <w:tcPr>
            <w:tcW w:w="920" w:type="dxa"/>
            <w:vMerge w:val="continue"/>
            <w:noWrap w:val="0"/>
            <w:vAlign w:val="center"/>
          </w:tcPr>
          <w:p w14:paraId="53BED4DF">
            <w:pPr>
              <w:pStyle w:val="8"/>
              <w:bidi w:val="0"/>
              <w:rPr>
                <w:rFonts w:hint="default"/>
              </w:rPr>
            </w:pPr>
          </w:p>
        </w:tc>
        <w:tc>
          <w:tcPr>
            <w:tcW w:w="6392" w:type="dxa"/>
            <w:noWrap w:val="0"/>
            <w:vAlign w:val="center"/>
          </w:tcPr>
          <w:p w14:paraId="072B130C">
            <w:pPr>
              <w:pStyle w:val="8"/>
              <w:bidi w:val="0"/>
              <w:jc w:val="left"/>
              <w:rPr>
                <w:rFonts w:hint="default"/>
              </w:rPr>
            </w:pPr>
            <w:r>
              <w:rPr>
                <w:rFonts w:hint="default"/>
              </w:rPr>
              <w:t>按照GB/T 36132附录A计算单位产品废水产生量</w:t>
            </w:r>
            <w:r>
              <w:rPr>
                <w:rFonts w:hint="default"/>
                <w:lang w:eastAsia="zh-CN"/>
              </w:rPr>
              <w:t>，指标</w:t>
            </w:r>
            <w:r>
              <w:rPr>
                <w:rFonts w:hint="default"/>
              </w:rPr>
              <w:t>优于行业前20%水平。（装备、电子、电器等离散制造业可采用单位产值或单位工业增加值指标。）前5%为满分。</w:t>
            </w:r>
          </w:p>
        </w:tc>
        <w:tc>
          <w:tcPr>
            <w:tcW w:w="2407" w:type="dxa"/>
            <w:vMerge w:val="continue"/>
            <w:noWrap w:val="0"/>
            <w:vAlign w:val="center"/>
          </w:tcPr>
          <w:p w14:paraId="5099D187">
            <w:pPr>
              <w:pStyle w:val="8"/>
              <w:bidi w:val="0"/>
              <w:rPr>
                <w:rFonts w:hint="default"/>
              </w:rPr>
            </w:pPr>
          </w:p>
        </w:tc>
        <w:tc>
          <w:tcPr>
            <w:tcW w:w="1275" w:type="dxa"/>
            <w:noWrap w:val="0"/>
            <w:vAlign w:val="center"/>
          </w:tcPr>
          <w:p w14:paraId="02B7B1F8">
            <w:pPr>
              <w:pStyle w:val="8"/>
              <w:bidi w:val="0"/>
              <w:rPr>
                <w:rFonts w:hint="default"/>
              </w:rPr>
            </w:pPr>
            <w:r>
              <w:rPr>
                <w:rFonts w:hint="default"/>
                <w:lang w:eastAsia="zh-CN"/>
              </w:rPr>
              <w:t>可选</w:t>
            </w:r>
          </w:p>
        </w:tc>
        <w:tc>
          <w:tcPr>
            <w:tcW w:w="851" w:type="dxa"/>
            <w:noWrap w:val="0"/>
            <w:vAlign w:val="center"/>
          </w:tcPr>
          <w:p w14:paraId="62E05368">
            <w:pPr>
              <w:pStyle w:val="8"/>
              <w:bidi w:val="0"/>
              <w:rPr>
                <w:rFonts w:hint="default"/>
              </w:rPr>
            </w:pPr>
            <w:r>
              <w:rPr>
                <w:rFonts w:hint="default"/>
              </w:rPr>
              <w:t>4</w:t>
            </w:r>
          </w:p>
        </w:tc>
        <w:tc>
          <w:tcPr>
            <w:tcW w:w="711" w:type="dxa"/>
            <w:vMerge w:val="continue"/>
            <w:noWrap w:val="0"/>
            <w:vAlign w:val="center"/>
          </w:tcPr>
          <w:p w14:paraId="5E061B3D">
            <w:pPr>
              <w:pStyle w:val="8"/>
              <w:bidi w:val="0"/>
              <w:rPr>
                <w:rFonts w:hint="default"/>
              </w:rPr>
            </w:pPr>
          </w:p>
        </w:tc>
        <w:tc>
          <w:tcPr>
            <w:tcW w:w="770" w:type="dxa"/>
            <w:noWrap w:val="0"/>
            <w:vAlign w:val="center"/>
          </w:tcPr>
          <w:p w14:paraId="38E07C83">
            <w:pPr>
              <w:pStyle w:val="8"/>
              <w:bidi w:val="0"/>
              <w:rPr>
                <w:rFonts w:hint="default"/>
              </w:rPr>
            </w:pPr>
            <w:r>
              <w:rPr>
                <w:rFonts w:hint="default"/>
              </w:rPr>
              <w:t>　</w:t>
            </w:r>
          </w:p>
        </w:tc>
      </w:tr>
      <w:tr w14:paraId="19CB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7DEE17A0">
            <w:pPr>
              <w:pStyle w:val="8"/>
              <w:bidi w:val="0"/>
              <w:rPr>
                <w:rFonts w:hint="default"/>
              </w:rPr>
            </w:pPr>
          </w:p>
        </w:tc>
        <w:tc>
          <w:tcPr>
            <w:tcW w:w="787" w:type="dxa"/>
            <w:vMerge w:val="continue"/>
            <w:noWrap w:val="0"/>
            <w:vAlign w:val="center"/>
          </w:tcPr>
          <w:p w14:paraId="356697A0">
            <w:pPr>
              <w:pStyle w:val="8"/>
              <w:bidi w:val="0"/>
              <w:rPr>
                <w:rFonts w:hint="default"/>
              </w:rPr>
            </w:pPr>
          </w:p>
        </w:tc>
        <w:tc>
          <w:tcPr>
            <w:tcW w:w="920" w:type="dxa"/>
            <w:vMerge w:val="restart"/>
            <w:noWrap w:val="0"/>
            <w:vAlign w:val="center"/>
          </w:tcPr>
          <w:p w14:paraId="7CD786C9">
            <w:pPr>
              <w:pStyle w:val="8"/>
              <w:bidi w:val="0"/>
              <w:rPr>
                <w:rFonts w:hint="default"/>
              </w:rPr>
            </w:pPr>
            <w:r>
              <w:rPr>
                <w:rFonts w:hint="default"/>
              </w:rPr>
              <w:t>废物资源化</w:t>
            </w:r>
          </w:p>
        </w:tc>
        <w:tc>
          <w:tcPr>
            <w:tcW w:w="6392" w:type="dxa"/>
            <w:noWrap w:val="0"/>
            <w:vAlign w:val="center"/>
          </w:tcPr>
          <w:p w14:paraId="09A6BA01">
            <w:pPr>
              <w:pStyle w:val="8"/>
              <w:bidi w:val="0"/>
              <w:jc w:val="left"/>
              <w:rPr>
                <w:rFonts w:hint="default"/>
              </w:rPr>
            </w:pPr>
            <w:r>
              <w:rPr>
                <w:rFonts w:hint="default"/>
              </w:rPr>
              <w:t>按照GB/T 36132附录A计算单位产品主要原材料消耗量</w:t>
            </w:r>
            <w:r>
              <w:rPr>
                <w:rFonts w:hint="default"/>
                <w:lang w:eastAsia="zh-CN"/>
              </w:rPr>
              <w:t>，指标</w:t>
            </w:r>
            <w:r>
              <w:rPr>
                <w:rFonts w:hint="default"/>
              </w:rPr>
              <w:t>应不高于行业平均水平。</w:t>
            </w:r>
          </w:p>
        </w:tc>
        <w:tc>
          <w:tcPr>
            <w:tcW w:w="2407" w:type="dxa"/>
            <w:vMerge w:val="restart"/>
            <w:noWrap w:val="0"/>
            <w:vAlign w:val="center"/>
          </w:tcPr>
          <w:p w14:paraId="7421DB0F">
            <w:pPr>
              <w:pStyle w:val="8"/>
              <w:bidi w:val="0"/>
              <w:rPr>
                <w:rFonts w:hint="default"/>
              </w:rPr>
            </w:pPr>
            <w:r>
              <w:rPr>
                <w:rFonts w:hint="default"/>
              </w:rPr>
              <w:t>　</w:t>
            </w:r>
          </w:p>
        </w:tc>
        <w:tc>
          <w:tcPr>
            <w:tcW w:w="1275" w:type="dxa"/>
            <w:noWrap w:val="0"/>
            <w:vAlign w:val="center"/>
          </w:tcPr>
          <w:p w14:paraId="13D2ACD7">
            <w:pPr>
              <w:pStyle w:val="8"/>
              <w:bidi w:val="0"/>
              <w:rPr>
                <w:rFonts w:hint="default"/>
              </w:rPr>
            </w:pPr>
            <w:r>
              <w:rPr>
                <w:rFonts w:hint="default"/>
                <w:lang w:eastAsia="zh-CN"/>
              </w:rPr>
              <w:t>必选</w:t>
            </w:r>
          </w:p>
        </w:tc>
        <w:tc>
          <w:tcPr>
            <w:tcW w:w="851" w:type="dxa"/>
            <w:noWrap w:val="0"/>
            <w:vAlign w:val="center"/>
          </w:tcPr>
          <w:p w14:paraId="62926A25">
            <w:pPr>
              <w:pStyle w:val="8"/>
              <w:bidi w:val="0"/>
              <w:rPr>
                <w:rFonts w:hint="default"/>
              </w:rPr>
            </w:pPr>
            <w:r>
              <w:rPr>
                <w:rFonts w:hint="default"/>
              </w:rPr>
              <w:t>6</w:t>
            </w:r>
          </w:p>
        </w:tc>
        <w:tc>
          <w:tcPr>
            <w:tcW w:w="711" w:type="dxa"/>
            <w:vMerge w:val="continue"/>
            <w:noWrap w:val="0"/>
            <w:vAlign w:val="center"/>
          </w:tcPr>
          <w:p w14:paraId="27CD364D">
            <w:pPr>
              <w:pStyle w:val="8"/>
              <w:bidi w:val="0"/>
              <w:rPr>
                <w:rFonts w:hint="default"/>
              </w:rPr>
            </w:pPr>
          </w:p>
        </w:tc>
        <w:tc>
          <w:tcPr>
            <w:tcW w:w="770" w:type="dxa"/>
            <w:noWrap w:val="0"/>
            <w:vAlign w:val="center"/>
          </w:tcPr>
          <w:p w14:paraId="335898B5">
            <w:pPr>
              <w:pStyle w:val="8"/>
              <w:bidi w:val="0"/>
              <w:rPr>
                <w:rFonts w:hint="default"/>
              </w:rPr>
            </w:pPr>
            <w:r>
              <w:rPr>
                <w:rFonts w:hint="default"/>
              </w:rPr>
              <w:t>　</w:t>
            </w:r>
          </w:p>
        </w:tc>
      </w:tr>
      <w:tr w14:paraId="44CD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113E44B9">
            <w:pPr>
              <w:pStyle w:val="8"/>
              <w:bidi w:val="0"/>
              <w:rPr>
                <w:rFonts w:hint="default"/>
              </w:rPr>
            </w:pPr>
          </w:p>
        </w:tc>
        <w:tc>
          <w:tcPr>
            <w:tcW w:w="787" w:type="dxa"/>
            <w:vMerge w:val="continue"/>
            <w:noWrap w:val="0"/>
            <w:vAlign w:val="center"/>
          </w:tcPr>
          <w:p w14:paraId="459D665F">
            <w:pPr>
              <w:pStyle w:val="8"/>
              <w:bidi w:val="0"/>
              <w:rPr>
                <w:rFonts w:hint="default"/>
              </w:rPr>
            </w:pPr>
          </w:p>
        </w:tc>
        <w:tc>
          <w:tcPr>
            <w:tcW w:w="920" w:type="dxa"/>
            <w:vMerge w:val="continue"/>
            <w:noWrap w:val="0"/>
            <w:vAlign w:val="center"/>
          </w:tcPr>
          <w:p w14:paraId="45DDC561">
            <w:pPr>
              <w:pStyle w:val="8"/>
              <w:bidi w:val="0"/>
              <w:rPr>
                <w:rFonts w:hint="default"/>
              </w:rPr>
            </w:pPr>
          </w:p>
        </w:tc>
        <w:tc>
          <w:tcPr>
            <w:tcW w:w="6392" w:type="dxa"/>
            <w:noWrap w:val="0"/>
            <w:vAlign w:val="center"/>
          </w:tcPr>
          <w:p w14:paraId="4B434DE4">
            <w:pPr>
              <w:pStyle w:val="8"/>
              <w:bidi w:val="0"/>
              <w:jc w:val="left"/>
              <w:rPr>
                <w:rFonts w:hint="default"/>
              </w:rPr>
            </w:pPr>
            <w:r>
              <w:rPr>
                <w:rFonts w:hint="default"/>
              </w:rPr>
              <w:t>按照GB/T 36132附录A计算单位产品主要原材料消耗量</w:t>
            </w:r>
            <w:r>
              <w:rPr>
                <w:rFonts w:hint="default"/>
                <w:lang w:eastAsia="zh-CN"/>
              </w:rPr>
              <w:t>，指标</w:t>
            </w:r>
            <w:r>
              <w:rPr>
                <w:rFonts w:hint="default"/>
              </w:rPr>
              <w:t>优于行业前20%水平，前5%为满分。</w:t>
            </w:r>
          </w:p>
        </w:tc>
        <w:tc>
          <w:tcPr>
            <w:tcW w:w="2407" w:type="dxa"/>
            <w:vMerge w:val="continue"/>
            <w:noWrap w:val="0"/>
            <w:vAlign w:val="center"/>
          </w:tcPr>
          <w:p w14:paraId="6C03B7F8">
            <w:pPr>
              <w:pStyle w:val="8"/>
              <w:bidi w:val="0"/>
              <w:rPr>
                <w:rFonts w:hint="default"/>
              </w:rPr>
            </w:pPr>
          </w:p>
        </w:tc>
        <w:tc>
          <w:tcPr>
            <w:tcW w:w="1275" w:type="dxa"/>
            <w:noWrap w:val="0"/>
            <w:vAlign w:val="center"/>
          </w:tcPr>
          <w:p w14:paraId="52495370">
            <w:pPr>
              <w:pStyle w:val="8"/>
              <w:bidi w:val="0"/>
              <w:rPr>
                <w:rFonts w:hint="default"/>
              </w:rPr>
            </w:pPr>
            <w:r>
              <w:rPr>
                <w:rFonts w:hint="default"/>
                <w:lang w:eastAsia="zh-CN"/>
              </w:rPr>
              <w:t>可选</w:t>
            </w:r>
          </w:p>
        </w:tc>
        <w:tc>
          <w:tcPr>
            <w:tcW w:w="851" w:type="dxa"/>
            <w:noWrap w:val="0"/>
            <w:vAlign w:val="center"/>
          </w:tcPr>
          <w:p w14:paraId="4D61C87C">
            <w:pPr>
              <w:pStyle w:val="8"/>
              <w:bidi w:val="0"/>
              <w:rPr>
                <w:rFonts w:hint="default"/>
              </w:rPr>
            </w:pPr>
            <w:r>
              <w:rPr>
                <w:rFonts w:hint="default"/>
              </w:rPr>
              <w:t>4</w:t>
            </w:r>
          </w:p>
        </w:tc>
        <w:tc>
          <w:tcPr>
            <w:tcW w:w="711" w:type="dxa"/>
            <w:vMerge w:val="continue"/>
            <w:noWrap w:val="0"/>
            <w:vAlign w:val="center"/>
          </w:tcPr>
          <w:p w14:paraId="2D71D687">
            <w:pPr>
              <w:pStyle w:val="8"/>
              <w:bidi w:val="0"/>
              <w:rPr>
                <w:rFonts w:hint="default"/>
              </w:rPr>
            </w:pPr>
          </w:p>
        </w:tc>
        <w:tc>
          <w:tcPr>
            <w:tcW w:w="770" w:type="dxa"/>
            <w:noWrap w:val="0"/>
            <w:vAlign w:val="center"/>
          </w:tcPr>
          <w:p w14:paraId="34F673A6">
            <w:pPr>
              <w:pStyle w:val="8"/>
              <w:bidi w:val="0"/>
              <w:rPr>
                <w:rFonts w:hint="default"/>
              </w:rPr>
            </w:pPr>
            <w:r>
              <w:rPr>
                <w:rFonts w:hint="default"/>
              </w:rPr>
              <w:t>　</w:t>
            </w:r>
          </w:p>
        </w:tc>
      </w:tr>
      <w:tr w14:paraId="347F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3E2C61FD">
            <w:pPr>
              <w:pStyle w:val="8"/>
              <w:bidi w:val="0"/>
              <w:rPr>
                <w:rFonts w:hint="default"/>
              </w:rPr>
            </w:pPr>
          </w:p>
        </w:tc>
        <w:tc>
          <w:tcPr>
            <w:tcW w:w="787" w:type="dxa"/>
            <w:vMerge w:val="continue"/>
            <w:noWrap w:val="0"/>
            <w:vAlign w:val="center"/>
          </w:tcPr>
          <w:p w14:paraId="2A5B86D5">
            <w:pPr>
              <w:pStyle w:val="8"/>
              <w:bidi w:val="0"/>
              <w:rPr>
                <w:rFonts w:hint="default"/>
              </w:rPr>
            </w:pPr>
          </w:p>
        </w:tc>
        <w:tc>
          <w:tcPr>
            <w:tcW w:w="920" w:type="dxa"/>
            <w:vMerge w:val="continue"/>
            <w:noWrap w:val="0"/>
            <w:vAlign w:val="center"/>
          </w:tcPr>
          <w:p w14:paraId="219A6095">
            <w:pPr>
              <w:pStyle w:val="8"/>
              <w:bidi w:val="0"/>
              <w:rPr>
                <w:rFonts w:hint="default"/>
              </w:rPr>
            </w:pPr>
          </w:p>
        </w:tc>
        <w:tc>
          <w:tcPr>
            <w:tcW w:w="6392" w:type="dxa"/>
            <w:noWrap w:val="0"/>
            <w:vAlign w:val="center"/>
          </w:tcPr>
          <w:p w14:paraId="7496956C">
            <w:pPr>
              <w:pStyle w:val="8"/>
              <w:bidi w:val="0"/>
              <w:jc w:val="left"/>
              <w:rPr>
                <w:rFonts w:hint="default"/>
              </w:rPr>
            </w:pPr>
            <w:r>
              <w:rPr>
                <w:rFonts w:hint="default"/>
              </w:rPr>
              <w:t>按照GB/T 36132附录A计算工业固体废物综合利用率</w:t>
            </w:r>
            <w:r>
              <w:rPr>
                <w:rFonts w:hint="default"/>
                <w:lang w:eastAsia="zh-CN"/>
              </w:rPr>
              <w:t>，指标</w:t>
            </w:r>
            <w:r>
              <w:rPr>
                <w:rFonts w:hint="default"/>
              </w:rPr>
              <w:t>应大于65%（根据行业特点，该指标可在±20%之间选取）。</w:t>
            </w:r>
          </w:p>
        </w:tc>
        <w:tc>
          <w:tcPr>
            <w:tcW w:w="2407" w:type="dxa"/>
            <w:vMerge w:val="restart"/>
            <w:noWrap w:val="0"/>
            <w:vAlign w:val="center"/>
          </w:tcPr>
          <w:p w14:paraId="19177AD5">
            <w:pPr>
              <w:pStyle w:val="8"/>
              <w:bidi w:val="0"/>
              <w:rPr>
                <w:rFonts w:hint="default"/>
              </w:rPr>
            </w:pPr>
            <w:r>
              <w:rPr>
                <w:rFonts w:hint="default"/>
              </w:rPr>
              <w:t>　</w:t>
            </w:r>
          </w:p>
        </w:tc>
        <w:tc>
          <w:tcPr>
            <w:tcW w:w="1275" w:type="dxa"/>
            <w:noWrap w:val="0"/>
            <w:vAlign w:val="center"/>
          </w:tcPr>
          <w:p w14:paraId="05EA5DFF">
            <w:pPr>
              <w:pStyle w:val="8"/>
              <w:bidi w:val="0"/>
              <w:rPr>
                <w:rFonts w:hint="default"/>
              </w:rPr>
            </w:pPr>
            <w:r>
              <w:rPr>
                <w:rFonts w:hint="default"/>
                <w:lang w:eastAsia="zh-CN"/>
              </w:rPr>
              <w:t>必选</w:t>
            </w:r>
          </w:p>
        </w:tc>
        <w:tc>
          <w:tcPr>
            <w:tcW w:w="851" w:type="dxa"/>
            <w:noWrap w:val="0"/>
            <w:vAlign w:val="center"/>
          </w:tcPr>
          <w:p w14:paraId="4AEBDB6E">
            <w:pPr>
              <w:pStyle w:val="8"/>
              <w:bidi w:val="0"/>
              <w:rPr>
                <w:rFonts w:hint="default"/>
              </w:rPr>
            </w:pPr>
            <w:r>
              <w:rPr>
                <w:rFonts w:hint="default"/>
              </w:rPr>
              <w:t>6</w:t>
            </w:r>
          </w:p>
        </w:tc>
        <w:tc>
          <w:tcPr>
            <w:tcW w:w="711" w:type="dxa"/>
            <w:vMerge w:val="continue"/>
            <w:noWrap w:val="0"/>
            <w:vAlign w:val="center"/>
          </w:tcPr>
          <w:p w14:paraId="61481B20">
            <w:pPr>
              <w:pStyle w:val="8"/>
              <w:bidi w:val="0"/>
              <w:rPr>
                <w:rFonts w:hint="default"/>
              </w:rPr>
            </w:pPr>
          </w:p>
        </w:tc>
        <w:tc>
          <w:tcPr>
            <w:tcW w:w="770" w:type="dxa"/>
            <w:noWrap w:val="0"/>
            <w:vAlign w:val="center"/>
          </w:tcPr>
          <w:p w14:paraId="60BF4A3C">
            <w:pPr>
              <w:pStyle w:val="8"/>
              <w:bidi w:val="0"/>
              <w:rPr>
                <w:rFonts w:hint="default"/>
              </w:rPr>
            </w:pPr>
            <w:r>
              <w:rPr>
                <w:rFonts w:hint="default"/>
              </w:rPr>
              <w:t>　</w:t>
            </w:r>
          </w:p>
        </w:tc>
      </w:tr>
      <w:tr w14:paraId="5BC4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6CD57CA7">
            <w:pPr>
              <w:pStyle w:val="8"/>
              <w:bidi w:val="0"/>
              <w:rPr>
                <w:rFonts w:hint="default"/>
              </w:rPr>
            </w:pPr>
          </w:p>
        </w:tc>
        <w:tc>
          <w:tcPr>
            <w:tcW w:w="787" w:type="dxa"/>
            <w:vMerge w:val="continue"/>
            <w:noWrap w:val="0"/>
            <w:vAlign w:val="center"/>
          </w:tcPr>
          <w:p w14:paraId="7ADA67AE">
            <w:pPr>
              <w:pStyle w:val="8"/>
              <w:bidi w:val="0"/>
              <w:rPr>
                <w:rFonts w:hint="default"/>
              </w:rPr>
            </w:pPr>
          </w:p>
        </w:tc>
        <w:tc>
          <w:tcPr>
            <w:tcW w:w="920" w:type="dxa"/>
            <w:vMerge w:val="continue"/>
            <w:noWrap w:val="0"/>
            <w:vAlign w:val="center"/>
          </w:tcPr>
          <w:p w14:paraId="0684AC83">
            <w:pPr>
              <w:pStyle w:val="8"/>
              <w:bidi w:val="0"/>
              <w:rPr>
                <w:rFonts w:hint="default"/>
              </w:rPr>
            </w:pPr>
          </w:p>
        </w:tc>
        <w:tc>
          <w:tcPr>
            <w:tcW w:w="6392" w:type="dxa"/>
            <w:noWrap w:val="0"/>
            <w:vAlign w:val="center"/>
          </w:tcPr>
          <w:p w14:paraId="636D2C70">
            <w:pPr>
              <w:pStyle w:val="8"/>
              <w:bidi w:val="0"/>
              <w:jc w:val="left"/>
              <w:rPr>
                <w:rFonts w:hint="default"/>
              </w:rPr>
            </w:pPr>
            <w:r>
              <w:rPr>
                <w:rFonts w:hint="default"/>
              </w:rPr>
              <w:t>按照GB/T 36132附录A计算工业固体废物综合利用率</w:t>
            </w:r>
            <w:r>
              <w:rPr>
                <w:rFonts w:hint="default"/>
                <w:lang w:eastAsia="zh-CN"/>
              </w:rPr>
              <w:t>，指标</w:t>
            </w:r>
            <w:r>
              <w:rPr>
                <w:rFonts w:hint="default"/>
              </w:rPr>
              <w:t>达到73%（根据行业特点，该指标可在±20%之间选取），90%为满分。</w:t>
            </w:r>
          </w:p>
        </w:tc>
        <w:tc>
          <w:tcPr>
            <w:tcW w:w="2407" w:type="dxa"/>
            <w:vMerge w:val="continue"/>
            <w:noWrap w:val="0"/>
            <w:vAlign w:val="center"/>
          </w:tcPr>
          <w:p w14:paraId="098B0C33">
            <w:pPr>
              <w:pStyle w:val="8"/>
              <w:bidi w:val="0"/>
              <w:rPr>
                <w:rFonts w:hint="default"/>
              </w:rPr>
            </w:pPr>
          </w:p>
        </w:tc>
        <w:tc>
          <w:tcPr>
            <w:tcW w:w="1275" w:type="dxa"/>
            <w:noWrap w:val="0"/>
            <w:vAlign w:val="center"/>
          </w:tcPr>
          <w:p w14:paraId="64E5E4E9">
            <w:pPr>
              <w:pStyle w:val="8"/>
              <w:bidi w:val="0"/>
              <w:rPr>
                <w:rFonts w:hint="default"/>
              </w:rPr>
            </w:pPr>
            <w:r>
              <w:rPr>
                <w:rFonts w:hint="default"/>
                <w:lang w:eastAsia="zh-CN"/>
              </w:rPr>
              <w:t>可选</w:t>
            </w:r>
          </w:p>
        </w:tc>
        <w:tc>
          <w:tcPr>
            <w:tcW w:w="851" w:type="dxa"/>
            <w:noWrap w:val="0"/>
            <w:vAlign w:val="center"/>
          </w:tcPr>
          <w:p w14:paraId="7AFC3CB2">
            <w:pPr>
              <w:pStyle w:val="8"/>
              <w:bidi w:val="0"/>
              <w:rPr>
                <w:rFonts w:hint="default"/>
              </w:rPr>
            </w:pPr>
            <w:r>
              <w:rPr>
                <w:rFonts w:hint="default"/>
              </w:rPr>
              <w:t>4</w:t>
            </w:r>
          </w:p>
        </w:tc>
        <w:tc>
          <w:tcPr>
            <w:tcW w:w="711" w:type="dxa"/>
            <w:vMerge w:val="continue"/>
            <w:noWrap w:val="0"/>
            <w:vAlign w:val="center"/>
          </w:tcPr>
          <w:p w14:paraId="38FCCA1F">
            <w:pPr>
              <w:pStyle w:val="8"/>
              <w:bidi w:val="0"/>
              <w:rPr>
                <w:rFonts w:hint="default"/>
              </w:rPr>
            </w:pPr>
          </w:p>
        </w:tc>
        <w:tc>
          <w:tcPr>
            <w:tcW w:w="770" w:type="dxa"/>
            <w:noWrap w:val="0"/>
            <w:vAlign w:val="center"/>
          </w:tcPr>
          <w:p w14:paraId="1DCF8930">
            <w:pPr>
              <w:pStyle w:val="8"/>
              <w:bidi w:val="0"/>
              <w:rPr>
                <w:rFonts w:hint="default"/>
              </w:rPr>
            </w:pPr>
            <w:r>
              <w:rPr>
                <w:rFonts w:hint="default"/>
              </w:rPr>
              <w:t>　</w:t>
            </w:r>
          </w:p>
        </w:tc>
      </w:tr>
      <w:tr w14:paraId="0975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1184" w:hRule="atLeast"/>
          <w:jc w:val="center"/>
        </w:trPr>
        <w:tc>
          <w:tcPr>
            <w:tcW w:w="704" w:type="dxa"/>
            <w:vMerge w:val="continue"/>
            <w:noWrap w:val="0"/>
            <w:vAlign w:val="center"/>
          </w:tcPr>
          <w:p w14:paraId="48D202A9">
            <w:pPr>
              <w:pStyle w:val="8"/>
              <w:bidi w:val="0"/>
              <w:rPr>
                <w:rFonts w:hint="default"/>
              </w:rPr>
            </w:pPr>
          </w:p>
        </w:tc>
        <w:tc>
          <w:tcPr>
            <w:tcW w:w="787" w:type="dxa"/>
            <w:vMerge w:val="continue"/>
            <w:noWrap w:val="0"/>
            <w:vAlign w:val="center"/>
          </w:tcPr>
          <w:p w14:paraId="660FBD35">
            <w:pPr>
              <w:pStyle w:val="8"/>
              <w:bidi w:val="0"/>
              <w:rPr>
                <w:rFonts w:hint="default"/>
              </w:rPr>
            </w:pPr>
          </w:p>
        </w:tc>
        <w:tc>
          <w:tcPr>
            <w:tcW w:w="920" w:type="dxa"/>
            <w:vMerge w:val="continue"/>
            <w:noWrap w:val="0"/>
            <w:vAlign w:val="center"/>
          </w:tcPr>
          <w:p w14:paraId="2F2DEF03">
            <w:pPr>
              <w:pStyle w:val="8"/>
              <w:bidi w:val="0"/>
              <w:rPr>
                <w:rFonts w:hint="default"/>
              </w:rPr>
            </w:pPr>
          </w:p>
        </w:tc>
        <w:tc>
          <w:tcPr>
            <w:tcW w:w="6392" w:type="dxa"/>
            <w:noWrap w:val="0"/>
            <w:vAlign w:val="center"/>
          </w:tcPr>
          <w:p w14:paraId="61A5067C">
            <w:pPr>
              <w:pStyle w:val="8"/>
              <w:bidi w:val="0"/>
              <w:jc w:val="left"/>
              <w:rPr>
                <w:rFonts w:hint="default"/>
              </w:rPr>
            </w:pPr>
            <w:r>
              <w:rPr>
                <w:rFonts w:hint="default"/>
              </w:rPr>
              <w:t>按照GB/T 36132附录A计算废水处理回用率</w:t>
            </w:r>
            <w:r>
              <w:rPr>
                <w:rFonts w:hint="default"/>
                <w:lang w:eastAsia="zh-CN"/>
              </w:rPr>
              <w:t>，指标</w:t>
            </w:r>
            <w:r>
              <w:rPr>
                <w:rFonts w:hint="default"/>
              </w:rPr>
              <w:t>高于行业平均值。</w:t>
            </w:r>
          </w:p>
        </w:tc>
        <w:tc>
          <w:tcPr>
            <w:tcW w:w="2407" w:type="dxa"/>
            <w:vMerge w:val="restart"/>
            <w:noWrap w:val="0"/>
            <w:vAlign w:val="center"/>
          </w:tcPr>
          <w:p w14:paraId="453828C8">
            <w:pPr>
              <w:pStyle w:val="8"/>
              <w:bidi w:val="0"/>
              <w:rPr>
                <w:rFonts w:hint="default"/>
              </w:rPr>
            </w:pPr>
            <w:r>
              <w:rPr>
                <w:rFonts w:hint="default"/>
              </w:rPr>
              <w:t>　</w:t>
            </w:r>
          </w:p>
        </w:tc>
        <w:tc>
          <w:tcPr>
            <w:tcW w:w="1275" w:type="dxa"/>
            <w:noWrap w:val="0"/>
            <w:vAlign w:val="center"/>
          </w:tcPr>
          <w:p w14:paraId="45E64E42">
            <w:pPr>
              <w:pStyle w:val="8"/>
              <w:bidi w:val="0"/>
              <w:rPr>
                <w:rFonts w:hint="default"/>
              </w:rPr>
            </w:pPr>
            <w:r>
              <w:rPr>
                <w:rFonts w:hint="default"/>
                <w:lang w:eastAsia="zh-CN"/>
              </w:rPr>
              <w:t>必选</w:t>
            </w:r>
          </w:p>
        </w:tc>
        <w:tc>
          <w:tcPr>
            <w:tcW w:w="851" w:type="dxa"/>
            <w:noWrap w:val="0"/>
            <w:vAlign w:val="center"/>
          </w:tcPr>
          <w:p w14:paraId="11F5AA9B">
            <w:pPr>
              <w:pStyle w:val="8"/>
              <w:bidi w:val="0"/>
              <w:rPr>
                <w:rFonts w:hint="default"/>
              </w:rPr>
            </w:pPr>
            <w:r>
              <w:rPr>
                <w:rFonts w:hint="default"/>
              </w:rPr>
              <w:t>6</w:t>
            </w:r>
          </w:p>
        </w:tc>
        <w:tc>
          <w:tcPr>
            <w:tcW w:w="711" w:type="dxa"/>
            <w:vMerge w:val="continue"/>
            <w:noWrap w:val="0"/>
            <w:vAlign w:val="center"/>
          </w:tcPr>
          <w:p w14:paraId="2F76DABB">
            <w:pPr>
              <w:pStyle w:val="8"/>
              <w:bidi w:val="0"/>
              <w:rPr>
                <w:rFonts w:hint="default"/>
              </w:rPr>
            </w:pPr>
          </w:p>
        </w:tc>
        <w:tc>
          <w:tcPr>
            <w:tcW w:w="770" w:type="dxa"/>
            <w:noWrap w:val="0"/>
            <w:vAlign w:val="center"/>
          </w:tcPr>
          <w:p w14:paraId="43018F2F">
            <w:pPr>
              <w:pStyle w:val="8"/>
              <w:bidi w:val="0"/>
              <w:rPr>
                <w:rFonts w:hint="default"/>
              </w:rPr>
            </w:pPr>
            <w:r>
              <w:rPr>
                <w:rFonts w:hint="default"/>
              </w:rPr>
              <w:t>　</w:t>
            </w:r>
          </w:p>
        </w:tc>
      </w:tr>
      <w:tr w14:paraId="36DB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1168" w:hRule="atLeast"/>
          <w:jc w:val="center"/>
        </w:trPr>
        <w:tc>
          <w:tcPr>
            <w:tcW w:w="704" w:type="dxa"/>
            <w:vMerge w:val="continue"/>
            <w:noWrap w:val="0"/>
            <w:vAlign w:val="center"/>
          </w:tcPr>
          <w:p w14:paraId="5E4CA442">
            <w:pPr>
              <w:pStyle w:val="8"/>
              <w:bidi w:val="0"/>
              <w:rPr>
                <w:rFonts w:hint="default"/>
              </w:rPr>
            </w:pPr>
          </w:p>
        </w:tc>
        <w:tc>
          <w:tcPr>
            <w:tcW w:w="787" w:type="dxa"/>
            <w:vMerge w:val="continue"/>
            <w:noWrap w:val="0"/>
            <w:vAlign w:val="center"/>
          </w:tcPr>
          <w:p w14:paraId="305D920D">
            <w:pPr>
              <w:pStyle w:val="8"/>
              <w:bidi w:val="0"/>
              <w:rPr>
                <w:rFonts w:hint="default"/>
              </w:rPr>
            </w:pPr>
          </w:p>
        </w:tc>
        <w:tc>
          <w:tcPr>
            <w:tcW w:w="920" w:type="dxa"/>
            <w:vMerge w:val="continue"/>
            <w:noWrap w:val="0"/>
            <w:vAlign w:val="center"/>
          </w:tcPr>
          <w:p w14:paraId="24F0EE90">
            <w:pPr>
              <w:pStyle w:val="8"/>
              <w:bidi w:val="0"/>
              <w:rPr>
                <w:rFonts w:hint="default"/>
              </w:rPr>
            </w:pPr>
          </w:p>
        </w:tc>
        <w:tc>
          <w:tcPr>
            <w:tcW w:w="6392" w:type="dxa"/>
            <w:noWrap w:val="0"/>
            <w:vAlign w:val="center"/>
          </w:tcPr>
          <w:p w14:paraId="73F5522C">
            <w:pPr>
              <w:pStyle w:val="8"/>
              <w:bidi w:val="0"/>
              <w:jc w:val="left"/>
              <w:rPr>
                <w:rFonts w:hint="default"/>
              </w:rPr>
            </w:pPr>
            <w:r>
              <w:rPr>
                <w:rFonts w:hint="default"/>
              </w:rPr>
              <w:t>按照GB/T 36132附录A计算废水处理回用率</w:t>
            </w:r>
            <w:r>
              <w:rPr>
                <w:rFonts w:hint="default"/>
                <w:lang w:eastAsia="zh-CN"/>
              </w:rPr>
              <w:t>，指标</w:t>
            </w:r>
            <w:r>
              <w:rPr>
                <w:rFonts w:hint="default"/>
              </w:rPr>
              <w:t>优于行业前20%水平，前5%为满分。</w:t>
            </w:r>
          </w:p>
        </w:tc>
        <w:tc>
          <w:tcPr>
            <w:tcW w:w="2407" w:type="dxa"/>
            <w:vMerge w:val="continue"/>
            <w:noWrap w:val="0"/>
            <w:vAlign w:val="center"/>
          </w:tcPr>
          <w:p w14:paraId="61BA4568">
            <w:pPr>
              <w:pStyle w:val="8"/>
              <w:bidi w:val="0"/>
              <w:rPr>
                <w:rFonts w:hint="default"/>
              </w:rPr>
            </w:pPr>
          </w:p>
        </w:tc>
        <w:tc>
          <w:tcPr>
            <w:tcW w:w="1275" w:type="dxa"/>
            <w:noWrap w:val="0"/>
            <w:vAlign w:val="center"/>
          </w:tcPr>
          <w:p w14:paraId="1108BA73">
            <w:pPr>
              <w:pStyle w:val="8"/>
              <w:bidi w:val="0"/>
              <w:rPr>
                <w:rFonts w:hint="default"/>
              </w:rPr>
            </w:pPr>
            <w:r>
              <w:rPr>
                <w:rFonts w:hint="default"/>
                <w:lang w:eastAsia="zh-CN"/>
              </w:rPr>
              <w:t>可选</w:t>
            </w:r>
          </w:p>
        </w:tc>
        <w:tc>
          <w:tcPr>
            <w:tcW w:w="851" w:type="dxa"/>
            <w:noWrap w:val="0"/>
            <w:vAlign w:val="center"/>
          </w:tcPr>
          <w:p w14:paraId="62337D80">
            <w:pPr>
              <w:pStyle w:val="8"/>
              <w:bidi w:val="0"/>
              <w:rPr>
                <w:rFonts w:hint="default"/>
              </w:rPr>
            </w:pPr>
            <w:r>
              <w:rPr>
                <w:rFonts w:hint="default"/>
              </w:rPr>
              <w:t>4</w:t>
            </w:r>
          </w:p>
        </w:tc>
        <w:tc>
          <w:tcPr>
            <w:tcW w:w="711" w:type="dxa"/>
            <w:vMerge w:val="continue"/>
            <w:noWrap w:val="0"/>
            <w:vAlign w:val="center"/>
          </w:tcPr>
          <w:p w14:paraId="05D9B15E">
            <w:pPr>
              <w:pStyle w:val="8"/>
              <w:bidi w:val="0"/>
              <w:rPr>
                <w:rFonts w:hint="default"/>
              </w:rPr>
            </w:pPr>
          </w:p>
        </w:tc>
        <w:tc>
          <w:tcPr>
            <w:tcW w:w="770" w:type="dxa"/>
            <w:noWrap w:val="0"/>
            <w:vAlign w:val="center"/>
          </w:tcPr>
          <w:p w14:paraId="4780562B">
            <w:pPr>
              <w:pStyle w:val="8"/>
              <w:bidi w:val="0"/>
              <w:rPr>
                <w:rFonts w:hint="default"/>
              </w:rPr>
            </w:pPr>
            <w:r>
              <w:rPr>
                <w:rFonts w:hint="default"/>
              </w:rPr>
              <w:t>　</w:t>
            </w:r>
          </w:p>
        </w:tc>
      </w:tr>
      <w:tr w14:paraId="7219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49693B50">
            <w:pPr>
              <w:pStyle w:val="8"/>
              <w:bidi w:val="0"/>
              <w:rPr>
                <w:rFonts w:hint="default"/>
              </w:rPr>
            </w:pPr>
          </w:p>
        </w:tc>
        <w:tc>
          <w:tcPr>
            <w:tcW w:w="787" w:type="dxa"/>
            <w:vMerge w:val="continue"/>
            <w:noWrap w:val="0"/>
            <w:vAlign w:val="center"/>
          </w:tcPr>
          <w:p w14:paraId="37F1E9B7">
            <w:pPr>
              <w:pStyle w:val="8"/>
              <w:bidi w:val="0"/>
              <w:rPr>
                <w:rFonts w:hint="default"/>
              </w:rPr>
            </w:pPr>
          </w:p>
        </w:tc>
        <w:tc>
          <w:tcPr>
            <w:tcW w:w="920" w:type="dxa"/>
            <w:vMerge w:val="restart"/>
            <w:noWrap w:val="0"/>
            <w:vAlign w:val="center"/>
          </w:tcPr>
          <w:p w14:paraId="2C6F5944">
            <w:pPr>
              <w:pStyle w:val="8"/>
              <w:bidi w:val="0"/>
              <w:rPr>
                <w:rFonts w:hint="default"/>
              </w:rPr>
            </w:pPr>
            <w:r>
              <w:rPr>
                <w:rFonts w:hint="default"/>
              </w:rPr>
              <w:t>能源低碳化</w:t>
            </w:r>
          </w:p>
        </w:tc>
        <w:tc>
          <w:tcPr>
            <w:tcW w:w="6392" w:type="dxa"/>
            <w:noWrap w:val="0"/>
            <w:vAlign w:val="center"/>
          </w:tcPr>
          <w:p w14:paraId="2FCF41D8">
            <w:pPr>
              <w:pStyle w:val="8"/>
              <w:bidi w:val="0"/>
              <w:spacing w:line="400" w:lineRule="exact"/>
              <w:jc w:val="left"/>
              <w:rPr>
                <w:rFonts w:hint="default"/>
              </w:rPr>
            </w:pPr>
            <w:r>
              <w:rPr>
                <w:rFonts w:hint="default"/>
              </w:rPr>
              <w:t>按照GB/T 36132附录A计算单位产品综合能耗</w:t>
            </w:r>
            <w:r>
              <w:rPr>
                <w:rFonts w:hint="default"/>
                <w:lang w:eastAsia="zh-CN"/>
              </w:rPr>
              <w:t>，指标</w:t>
            </w:r>
            <w:r>
              <w:rPr>
                <w:rFonts w:hint="default"/>
              </w:rPr>
              <w:t>应符合相关国家、行业标准中的限额要求。未制定相关标准的，应达到行业平均水平。（装备、电子、电器等离散制造业可采用单位产值或单位工业增加值指标。）</w:t>
            </w:r>
          </w:p>
        </w:tc>
        <w:tc>
          <w:tcPr>
            <w:tcW w:w="2407" w:type="dxa"/>
            <w:vMerge w:val="restart"/>
            <w:noWrap w:val="0"/>
            <w:vAlign w:val="center"/>
          </w:tcPr>
          <w:p w14:paraId="2C27B7D0">
            <w:pPr>
              <w:pStyle w:val="8"/>
              <w:bidi w:val="0"/>
              <w:rPr>
                <w:rFonts w:hint="default"/>
              </w:rPr>
            </w:pPr>
            <w:r>
              <w:rPr>
                <w:rFonts w:hint="default"/>
              </w:rPr>
              <w:t>　</w:t>
            </w:r>
          </w:p>
        </w:tc>
        <w:tc>
          <w:tcPr>
            <w:tcW w:w="1275" w:type="dxa"/>
            <w:noWrap w:val="0"/>
            <w:vAlign w:val="center"/>
          </w:tcPr>
          <w:p w14:paraId="2D5154A1">
            <w:pPr>
              <w:pStyle w:val="8"/>
              <w:bidi w:val="0"/>
              <w:rPr>
                <w:rFonts w:hint="default"/>
              </w:rPr>
            </w:pPr>
            <w:r>
              <w:rPr>
                <w:rFonts w:hint="default"/>
                <w:lang w:eastAsia="zh-CN"/>
              </w:rPr>
              <w:t>必选</w:t>
            </w:r>
          </w:p>
        </w:tc>
        <w:tc>
          <w:tcPr>
            <w:tcW w:w="851" w:type="dxa"/>
            <w:noWrap w:val="0"/>
            <w:vAlign w:val="center"/>
          </w:tcPr>
          <w:p w14:paraId="5C2B9A60">
            <w:pPr>
              <w:pStyle w:val="8"/>
              <w:bidi w:val="0"/>
              <w:rPr>
                <w:rFonts w:hint="default"/>
              </w:rPr>
            </w:pPr>
            <w:r>
              <w:rPr>
                <w:rFonts w:hint="default"/>
              </w:rPr>
              <w:t>6</w:t>
            </w:r>
          </w:p>
        </w:tc>
        <w:tc>
          <w:tcPr>
            <w:tcW w:w="711" w:type="dxa"/>
            <w:vMerge w:val="continue"/>
            <w:noWrap w:val="0"/>
            <w:vAlign w:val="center"/>
          </w:tcPr>
          <w:p w14:paraId="76B4766D">
            <w:pPr>
              <w:pStyle w:val="8"/>
              <w:bidi w:val="0"/>
              <w:rPr>
                <w:rFonts w:hint="default"/>
              </w:rPr>
            </w:pPr>
          </w:p>
        </w:tc>
        <w:tc>
          <w:tcPr>
            <w:tcW w:w="770" w:type="dxa"/>
            <w:noWrap w:val="0"/>
            <w:vAlign w:val="center"/>
          </w:tcPr>
          <w:p w14:paraId="1CD8D914">
            <w:pPr>
              <w:pStyle w:val="8"/>
              <w:bidi w:val="0"/>
              <w:rPr>
                <w:rFonts w:hint="default"/>
              </w:rPr>
            </w:pPr>
            <w:r>
              <w:rPr>
                <w:rFonts w:hint="default"/>
              </w:rPr>
              <w:t>　</w:t>
            </w:r>
          </w:p>
        </w:tc>
      </w:tr>
      <w:tr w14:paraId="32B8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35B59A97">
            <w:pPr>
              <w:pStyle w:val="8"/>
              <w:bidi w:val="0"/>
              <w:rPr>
                <w:rFonts w:hint="default"/>
              </w:rPr>
            </w:pPr>
          </w:p>
        </w:tc>
        <w:tc>
          <w:tcPr>
            <w:tcW w:w="787" w:type="dxa"/>
            <w:vMerge w:val="continue"/>
            <w:noWrap w:val="0"/>
            <w:vAlign w:val="center"/>
          </w:tcPr>
          <w:p w14:paraId="5ECF8B4D">
            <w:pPr>
              <w:pStyle w:val="8"/>
              <w:bidi w:val="0"/>
              <w:rPr>
                <w:rFonts w:hint="default"/>
              </w:rPr>
            </w:pPr>
          </w:p>
        </w:tc>
        <w:tc>
          <w:tcPr>
            <w:tcW w:w="920" w:type="dxa"/>
            <w:vMerge w:val="continue"/>
            <w:noWrap w:val="0"/>
            <w:vAlign w:val="center"/>
          </w:tcPr>
          <w:p w14:paraId="1362AFAC">
            <w:pPr>
              <w:pStyle w:val="8"/>
              <w:bidi w:val="0"/>
              <w:rPr>
                <w:rFonts w:hint="default"/>
              </w:rPr>
            </w:pPr>
          </w:p>
        </w:tc>
        <w:tc>
          <w:tcPr>
            <w:tcW w:w="6392" w:type="dxa"/>
            <w:noWrap w:val="0"/>
            <w:vAlign w:val="center"/>
          </w:tcPr>
          <w:p w14:paraId="74592645">
            <w:pPr>
              <w:pStyle w:val="8"/>
              <w:bidi w:val="0"/>
              <w:spacing w:line="400" w:lineRule="exact"/>
              <w:jc w:val="left"/>
              <w:rPr>
                <w:rFonts w:hint="default"/>
              </w:rPr>
            </w:pPr>
            <w:r>
              <w:rPr>
                <w:rFonts w:hint="default"/>
              </w:rPr>
              <w:t>按照GB/T 36132附录A计算单位产品综合能耗</w:t>
            </w:r>
            <w:r>
              <w:rPr>
                <w:rFonts w:hint="default"/>
                <w:lang w:eastAsia="zh-CN"/>
              </w:rPr>
              <w:t>，指标</w:t>
            </w:r>
            <w:r>
              <w:rPr>
                <w:rFonts w:hint="default"/>
              </w:rPr>
              <w:t>达到相关国家、行业标准中的先进值要求。未制定相关标准的，应优于行业前20%水平。（装备、电子、电器等离散制造业可采用单位产值或单位工业增加值指标。）前5%为满分。</w:t>
            </w:r>
          </w:p>
        </w:tc>
        <w:tc>
          <w:tcPr>
            <w:tcW w:w="2407" w:type="dxa"/>
            <w:vMerge w:val="continue"/>
            <w:noWrap w:val="0"/>
            <w:vAlign w:val="center"/>
          </w:tcPr>
          <w:p w14:paraId="11957A23">
            <w:pPr>
              <w:pStyle w:val="8"/>
              <w:bidi w:val="0"/>
              <w:rPr>
                <w:rFonts w:hint="default"/>
              </w:rPr>
            </w:pPr>
          </w:p>
        </w:tc>
        <w:tc>
          <w:tcPr>
            <w:tcW w:w="1275" w:type="dxa"/>
            <w:noWrap w:val="0"/>
            <w:vAlign w:val="center"/>
          </w:tcPr>
          <w:p w14:paraId="7B1539F4">
            <w:pPr>
              <w:pStyle w:val="8"/>
              <w:bidi w:val="0"/>
              <w:rPr>
                <w:rFonts w:hint="default"/>
              </w:rPr>
            </w:pPr>
            <w:r>
              <w:rPr>
                <w:rFonts w:hint="default"/>
                <w:lang w:eastAsia="zh-CN"/>
              </w:rPr>
              <w:t>可选</w:t>
            </w:r>
          </w:p>
        </w:tc>
        <w:tc>
          <w:tcPr>
            <w:tcW w:w="851" w:type="dxa"/>
            <w:noWrap w:val="0"/>
            <w:vAlign w:val="center"/>
          </w:tcPr>
          <w:p w14:paraId="2BE152AE">
            <w:pPr>
              <w:pStyle w:val="8"/>
              <w:bidi w:val="0"/>
              <w:rPr>
                <w:rFonts w:hint="default"/>
              </w:rPr>
            </w:pPr>
            <w:r>
              <w:rPr>
                <w:rFonts w:hint="default"/>
              </w:rPr>
              <w:t>4</w:t>
            </w:r>
          </w:p>
        </w:tc>
        <w:tc>
          <w:tcPr>
            <w:tcW w:w="711" w:type="dxa"/>
            <w:vMerge w:val="continue"/>
            <w:noWrap w:val="0"/>
            <w:vAlign w:val="center"/>
          </w:tcPr>
          <w:p w14:paraId="0D70935A">
            <w:pPr>
              <w:pStyle w:val="8"/>
              <w:bidi w:val="0"/>
              <w:rPr>
                <w:rFonts w:hint="default"/>
              </w:rPr>
            </w:pPr>
          </w:p>
        </w:tc>
        <w:tc>
          <w:tcPr>
            <w:tcW w:w="770" w:type="dxa"/>
            <w:noWrap w:val="0"/>
            <w:vAlign w:val="center"/>
          </w:tcPr>
          <w:p w14:paraId="58CD0F83">
            <w:pPr>
              <w:pStyle w:val="8"/>
              <w:bidi w:val="0"/>
              <w:rPr>
                <w:rFonts w:hint="default"/>
              </w:rPr>
            </w:pPr>
            <w:r>
              <w:rPr>
                <w:rFonts w:hint="default"/>
              </w:rPr>
              <w:t>　</w:t>
            </w:r>
          </w:p>
        </w:tc>
      </w:tr>
      <w:tr w14:paraId="63B9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153A5850">
            <w:pPr>
              <w:pStyle w:val="8"/>
              <w:bidi w:val="0"/>
              <w:rPr>
                <w:rFonts w:hint="default"/>
              </w:rPr>
            </w:pPr>
          </w:p>
        </w:tc>
        <w:tc>
          <w:tcPr>
            <w:tcW w:w="787" w:type="dxa"/>
            <w:vMerge w:val="continue"/>
            <w:noWrap w:val="0"/>
            <w:vAlign w:val="center"/>
          </w:tcPr>
          <w:p w14:paraId="09B0DEE7">
            <w:pPr>
              <w:pStyle w:val="8"/>
              <w:bidi w:val="0"/>
              <w:rPr>
                <w:rFonts w:hint="default"/>
              </w:rPr>
            </w:pPr>
          </w:p>
        </w:tc>
        <w:tc>
          <w:tcPr>
            <w:tcW w:w="920" w:type="dxa"/>
            <w:vMerge w:val="continue"/>
            <w:noWrap w:val="0"/>
            <w:vAlign w:val="center"/>
          </w:tcPr>
          <w:p w14:paraId="7C23396A">
            <w:pPr>
              <w:pStyle w:val="8"/>
              <w:bidi w:val="0"/>
              <w:rPr>
                <w:rFonts w:hint="default"/>
              </w:rPr>
            </w:pPr>
          </w:p>
        </w:tc>
        <w:tc>
          <w:tcPr>
            <w:tcW w:w="6392" w:type="dxa"/>
            <w:noWrap w:val="0"/>
            <w:vAlign w:val="center"/>
          </w:tcPr>
          <w:p w14:paraId="4DC162D3">
            <w:pPr>
              <w:pStyle w:val="8"/>
              <w:bidi w:val="0"/>
              <w:spacing w:line="400" w:lineRule="exact"/>
              <w:jc w:val="left"/>
              <w:rPr>
                <w:rFonts w:hint="default"/>
              </w:rPr>
            </w:pPr>
            <w:r>
              <w:rPr>
                <w:rFonts w:hint="default"/>
              </w:rPr>
              <w:t>按照GB/T 36132附录A计算单位产品碳排放量</w:t>
            </w:r>
            <w:r>
              <w:rPr>
                <w:rFonts w:hint="default"/>
                <w:lang w:eastAsia="zh-CN"/>
              </w:rPr>
              <w:t>，指标</w:t>
            </w:r>
            <w:r>
              <w:rPr>
                <w:rFonts w:hint="default"/>
              </w:rPr>
              <w:t>应优于行业平均水平。（装备、电子、电器等离散制造业可采用单位产值或单位工业增加值指标。）</w:t>
            </w:r>
          </w:p>
        </w:tc>
        <w:tc>
          <w:tcPr>
            <w:tcW w:w="2407" w:type="dxa"/>
            <w:vMerge w:val="restart"/>
            <w:noWrap w:val="0"/>
            <w:vAlign w:val="center"/>
          </w:tcPr>
          <w:p w14:paraId="09064630">
            <w:pPr>
              <w:pStyle w:val="8"/>
              <w:bidi w:val="0"/>
              <w:rPr>
                <w:rFonts w:hint="default"/>
              </w:rPr>
            </w:pPr>
            <w:r>
              <w:rPr>
                <w:rFonts w:hint="default"/>
              </w:rPr>
              <w:t>　</w:t>
            </w:r>
          </w:p>
        </w:tc>
        <w:tc>
          <w:tcPr>
            <w:tcW w:w="1275" w:type="dxa"/>
            <w:noWrap w:val="0"/>
            <w:vAlign w:val="center"/>
          </w:tcPr>
          <w:p w14:paraId="633B7071">
            <w:pPr>
              <w:pStyle w:val="8"/>
              <w:bidi w:val="0"/>
              <w:rPr>
                <w:rFonts w:hint="default"/>
              </w:rPr>
            </w:pPr>
            <w:r>
              <w:rPr>
                <w:rFonts w:hint="default"/>
                <w:lang w:eastAsia="zh-CN"/>
              </w:rPr>
              <w:t>必选</w:t>
            </w:r>
          </w:p>
        </w:tc>
        <w:tc>
          <w:tcPr>
            <w:tcW w:w="851" w:type="dxa"/>
            <w:noWrap w:val="0"/>
            <w:vAlign w:val="center"/>
          </w:tcPr>
          <w:p w14:paraId="3CCED324">
            <w:pPr>
              <w:pStyle w:val="8"/>
              <w:bidi w:val="0"/>
              <w:rPr>
                <w:rFonts w:hint="default"/>
              </w:rPr>
            </w:pPr>
            <w:r>
              <w:rPr>
                <w:rFonts w:hint="default"/>
                <w:lang w:val="en-US" w:eastAsia="zh-CN"/>
              </w:rPr>
              <w:t>3</w:t>
            </w:r>
          </w:p>
        </w:tc>
        <w:tc>
          <w:tcPr>
            <w:tcW w:w="711" w:type="dxa"/>
            <w:vMerge w:val="continue"/>
            <w:noWrap w:val="0"/>
            <w:vAlign w:val="center"/>
          </w:tcPr>
          <w:p w14:paraId="0326C5E8">
            <w:pPr>
              <w:pStyle w:val="8"/>
              <w:bidi w:val="0"/>
              <w:rPr>
                <w:rFonts w:hint="default"/>
              </w:rPr>
            </w:pPr>
          </w:p>
        </w:tc>
        <w:tc>
          <w:tcPr>
            <w:tcW w:w="770" w:type="dxa"/>
            <w:noWrap w:val="0"/>
            <w:vAlign w:val="center"/>
          </w:tcPr>
          <w:p w14:paraId="52AD67E3">
            <w:pPr>
              <w:pStyle w:val="8"/>
              <w:bidi w:val="0"/>
              <w:rPr>
                <w:rFonts w:hint="default"/>
              </w:rPr>
            </w:pPr>
            <w:r>
              <w:rPr>
                <w:rFonts w:hint="default"/>
              </w:rPr>
              <w:t>　</w:t>
            </w:r>
          </w:p>
        </w:tc>
      </w:tr>
      <w:tr w14:paraId="5625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704" w:type="dxa"/>
            <w:vMerge w:val="continue"/>
            <w:noWrap w:val="0"/>
            <w:vAlign w:val="center"/>
          </w:tcPr>
          <w:p w14:paraId="42F3389A">
            <w:pPr>
              <w:pStyle w:val="8"/>
              <w:bidi w:val="0"/>
              <w:rPr>
                <w:rFonts w:hint="default"/>
              </w:rPr>
            </w:pPr>
          </w:p>
        </w:tc>
        <w:tc>
          <w:tcPr>
            <w:tcW w:w="787" w:type="dxa"/>
            <w:vMerge w:val="continue"/>
            <w:noWrap w:val="0"/>
            <w:vAlign w:val="center"/>
          </w:tcPr>
          <w:p w14:paraId="486A7E3E">
            <w:pPr>
              <w:pStyle w:val="8"/>
              <w:bidi w:val="0"/>
              <w:rPr>
                <w:rFonts w:hint="default"/>
              </w:rPr>
            </w:pPr>
          </w:p>
        </w:tc>
        <w:tc>
          <w:tcPr>
            <w:tcW w:w="920" w:type="dxa"/>
            <w:vMerge w:val="continue"/>
            <w:noWrap w:val="0"/>
            <w:vAlign w:val="center"/>
          </w:tcPr>
          <w:p w14:paraId="01C6313B">
            <w:pPr>
              <w:pStyle w:val="8"/>
              <w:bidi w:val="0"/>
              <w:rPr>
                <w:rFonts w:hint="default"/>
              </w:rPr>
            </w:pPr>
          </w:p>
        </w:tc>
        <w:tc>
          <w:tcPr>
            <w:tcW w:w="6392" w:type="dxa"/>
            <w:noWrap w:val="0"/>
            <w:vAlign w:val="center"/>
          </w:tcPr>
          <w:p w14:paraId="0FC423E1">
            <w:pPr>
              <w:pStyle w:val="8"/>
              <w:bidi w:val="0"/>
              <w:spacing w:line="400" w:lineRule="exact"/>
              <w:jc w:val="left"/>
              <w:rPr>
                <w:rFonts w:hint="default"/>
              </w:rPr>
            </w:pPr>
            <w:r>
              <w:rPr>
                <w:rFonts w:hint="default"/>
              </w:rPr>
              <w:t>按照GB/T 36132附录A计算单位产品碳排放量</w:t>
            </w:r>
            <w:r>
              <w:rPr>
                <w:rFonts w:hint="default"/>
                <w:lang w:eastAsia="zh-CN"/>
              </w:rPr>
              <w:t>，指标</w:t>
            </w:r>
            <w:r>
              <w:rPr>
                <w:rFonts w:hint="default"/>
              </w:rPr>
              <w:t>优于行业前20%水平。（装备、电子、电器等离散制造业可采用单位产值或单位工业增加值指标。）前5%为满分。</w:t>
            </w:r>
          </w:p>
        </w:tc>
        <w:tc>
          <w:tcPr>
            <w:tcW w:w="2407" w:type="dxa"/>
            <w:vMerge w:val="continue"/>
            <w:noWrap w:val="0"/>
            <w:vAlign w:val="center"/>
          </w:tcPr>
          <w:p w14:paraId="1BEAD424">
            <w:pPr>
              <w:pStyle w:val="8"/>
              <w:bidi w:val="0"/>
              <w:rPr>
                <w:rFonts w:hint="default"/>
              </w:rPr>
            </w:pPr>
          </w:p>
        </w:tc>
        <w:tc>
          <w:tcPr>
            <w:tcW w:w="1275" w:type="dxa"/>
            <w:noWrap w:val="0"/>
            <w:vAlign w:val="center"/>
          </w:tcPr>
          <w:p w14:paraId="2D2840A9">
            <w:pPr>
              <w:pStyle w:val="8"/>
              <w:bidi w:val="0"/>
              <w:rPr>
                <w:rFonts w:hint="default"/>
              </w:rPr>
            </w:pPr>
            <w:r>
              <w:rPr>
                <w:rFonts w:hint="default"/>
                <w:lang w:eastAsia="zh-CN"/>
              </w:rPr>
              <w:t>可选</w:t>
            </w:r>
          </w:p>
        </w:tc>
        <w:tc>
          <w:tcPr>
            <w:tcW w:w="851" w:type="dxa"/>
            <w:noWrap w:val="0"/>
            <w:vAlign w:val="center"/>
          </w:tcPr>
          <w:p w14:paraId="62B7ABB9">
            <w:pPr>
              <w:pStyle w:val="8"/>
              <w:bidi w:val="0"/>
              <w:rPr>
                <w:rFonts w:hint="default"/>
              </w:rPr>
            </w:pPr>
            <w:r>
              <w:rPr>
                <w:rFonts w:hint="default"/>
                <w:lang w:val="en-US" w:eastAsia="zh-CN"/>
              </w:rPr>
              <w:t>2</w:t>
            </w:r>
          </w:p>
        </w:tc>
        <w:tc>
          <w:tcPr>
            <w:tcW w:w="711" w:type="dxa"/>
            <w:vMerge w:val="continue"/>
            <w:noWrap w:val="0"/>
            <w:vAlign w:val="center"/>
          </w:tcPr>
          <w:p w14:paraId="4FAEB128">
            <w:pPr>
              <w:pStyle w:val="8"/>
              <w:bidi w:val="0"/>
              <w:rPr>
                <w:rFonts w:hint="default"/>
              </w:rPr>
            </w:pPr>
          </w:p>
        </w:tc>
        <w:tc>
          <w:tcPr>
            <w:tcW w:w="770" w:type="dxa"/>
            <w:noWrap w:val="0"/>
            <w:vAlign w:val="center"/>
          </w:tcPr>
          <w:p w14:paraId="3F0991ED">
            <w:pPr>
              <w:pStyle w:val="8"/>
              <w:bidi w:val="0"/>
              <w:rPr>
                <w:rFonts w:hint="default"/>
              </w:rPr>
            </w:pPr>
            <w:r>
              <w:rPr>
                <w:rFonts w:hint="default"/>
              </w:rPr>
              <w:t>　</w:t>
            </w:r>
          </w:p>
        </w:tc>
      </w:tr>
      <w:tr w14:paraId="4DA6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2411" w:type="dxa"/>
            <w:gridSpan w:val="3"/>
            <w:noWrap w:val="0"/>
            <w:vAlign w:val="center"/>
          </w:tcPr>
          <w:p w14:paraId="1C491569">
            <w:pPr>
              <w:pStyle w:val="8"/>
              <w:bidi w:val="0"/>
              <w:rPr>
                <w:rFonts w:hint="eastAsia" w:eastAsia="仿宋"/>
                <w:lang w:val="en-US" w:eastAsia="zh-CN"/>
              </w:rPr>
            </w:pPr>
            <w:r>
              <w:rPr>
                <w:rFonts w:hint="eastAsia"/>
                <w:lang w:val="en-US" w:eastAsia="zh-CN"/>
              </w:rPr>
              <w:t>加分项</w:t>
            </w:r>
          </w:p>
        </w:tc>
        <w:tc>
          <w:tcPr>
            <w:tcW w:w="6392" w:type="dxa"/>
            <w:noWrap w:val="0"/>
            <w:vAlign w:val="center"/>
          </w:tcPr>
          <w:p w14:paraId="399830B7">
            <w:pPr>
              <w:pStyle w:val="8"/>
              <w:bidi w:val="0"/>
              <w:spacing w:line="400" w:lineRule="exact"/>
              <w:jc w:val="center"/>
              <w:rPr>
                <w:rFonts w:hint="default"/>
              </w:rPr>
            </w:pPr>
            <w:r>
              <w:rPr>
                <w:spacing w:val="-2"/>
              </w:rPr>
              <w:t>“零碳</w:t>
            </w:r>
            <w:r>
              <w:rPr>
                <w:spacing w:val="-83"/>
              </w:rPr>
              <w:t xml:space="preserve"> </w:t>
            </w:r>
            <w:r>
              <w:rPr>
                <w:spacing w:val="-2"/>
              </w:rPr>
              <w:t>”工厂创建方面开展的工作情况</w:t>
            </w:r>
          </w:p>
        </w:tc>
        <w:tc>
          <w:tcPr>
            <w:tcW w:w="2407" w:type="dxa"/>
            <w:noWrap w:val="0"/>
            <w:vAlign w:val="center"/>
          </w:tcPr>
          <w:p w14:paraId="07E14A0F">
            <w:pPr>
              <w:pStyle w:val="8"/>
              <w:bidi w:val="0"/>
              <w:rPr>
                <w:rFonts w:hint="default"/>
              </w:rPr>
            </w:pPr>
          </w:p>
        </w:tc>
        <w:tc>
          <w:tcPr>
            <w:tcW w:w="1275" w:type="dxa"/>
            <w:noWrap w:val="0"/>
            <w:vAlign w:val="center"/>
          </w:tcPr>
          <w:p w14:paraId="5C02B51E">
            <w:pPr>
              <w:pStyle w:val="8"/>
              <w:bidi w:val="0"/>
              <w:rPr>
                <w:rFonts w:hint="default"/>
                <w:lang w:val="en-US" w:eastAsia="zh-CN"/>
              </w:rPr>
            </w:pPr>
            <w:r>
              <w:rPr>
                <w:rFonts w:hint="eastAsia"/>
                <w:lang w:val="en-US" w:eastAsia="zh-CN"/>
              </w:rPr>
              <w:t>可选</w:t>
            </w:r>
          </w:p>
        </w:tc>
        <w:tc>
          <w:tcPr>
            <w:tcW w:w="851" w:type="dxa"/>
            <w:noWrap w:val="0"/>
            <w:vAlign w:val="center"/>
          </w:tcPr>
          <w:p w14:paraId="615A6977">
            <w:pPr>
              <w:pStyle w:val="8"/>
              <w:bidi w:val="0"/>
              <w:rPr>
                <w:rFonts w:hint="default"/>
                <w:lang w:val="en-US" w:eastAsia="zh-CN"/>
              </w:rPr>
            </w:pPr>
            <w:r>
              <w:rPr>
                <w:rFonts w:hint="eastAsia"/>
                <w:lang w:val="en-US" w:eastAsia="zh-CN"/>
              </w:rPr>
              <w:t>3</w:t>
            </w:r>
          </w:p>
        </w:tc>
        <w:tc>
          <w:tcPr>
            <w:tcW w:w="711" w:type="dxa"/>
            <w:noWrap w:val="0"/>
            <w:vAlign w:val="center"/>
          </w:tcPr>
          <w:p w14:paraId="21045EFF">
            <w:pPr>
              <w:pStyle w:val="8"/>
              <w:bidi w:val="0"/>
              <w:rPr>
                <w:rFonts w:hint="default" w:eastAsia="仿宋"/>
                <w:lang w:val="en-US" w:eastAsia="zh-CN"/>
              </w:rPr>
            </w:pPr>
            <w:r>
              <w:rPr>
                <w:rFonts w:hint="eastAsia"/>
                <w:lang w:val="en-US" w:eastAsia="zh-CN"/>
              </w:rPr>
              <w:t>100</w:t>
            </w:r>
          </w:p>
        </w:tc>
        <w:tc>
          <w:tcPr>
            <w:tcW w:w="770" w:type="dxa"/>
            <w:noWrap w:val="0"/>
            <w:vAlign w:val="center"/>
          </w:tcPr>
          <w:p w14:paraId="69D543A4">
            <w:pPr>
              <w:pStyle w:val="8"/>
              <w:bidi w:val="0"/>
              <w:rPr>
                <w:rFonts w:hint="default"/>
              </w:rPr>
            </w:pPr>
          </w:p>
        </w:tc>
      </w:tr>
      <w:tr w14:paraId="51B7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jc w:val="center"/>
        </w:trPr>
        <w:tc>
          <w:tcPr>
            <w:tcW w:w="14047" w:type="dxa"/>
            <w:gridSpan w:val="8"/>
            <w:noWrap w:val="0"/>
            <w:vAlign w:val="center"/>
          </w:tcPr>
          <w:p w14:paraId="053421CF">
            <w:pPr>
              <w:pStyle w:val="8"/>
              <w:bidi w:val="0"/>
              <w:rPr>
                <w:rFonts w:hint="default"/>
              </w:rPr>
            </w:pPr>
            <w:r>
              <w:rPr>
                <w:rFonts w:hint="default"/>
              </w:rPr>
              <w:t>总分</w:t>
            </w:r>
          </w:p>
        </w:tc>
        <w:tc>
          <w:tcPr>
            <w:tcW w:w="770" w:type="dxa"/>
            <w:noWrap w:val="0"/>
            <w:vAlign w:val="center"/>
          </w:tcPr>
          <w:p w14:paraId="5F08CDC0">
            <w:pPr>
              <w:pStyle w:val="8"/>
              <w:bidi w:val="0"/>
              <w:rPr>
                <w:rFonts w:hint="default"/>
              </w:rPr>
            </w:pPr>
          </w:p>
        </w:tc>
      </w:tr>
    </w:tbl>
    <w:p w14:paraId="2B0381AA">
      <w:pPr>
        <w:spacing w:line="360" w:lineRule="exact"/>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注</w:t>
      </w:r>
      <w:r>
        <w:rPr>
          <w:rFonts w:hint="default" w:ascii="Times New Roman" w:hAnsi="Times New Roman" w:eastAsia="仿宋" w:cs="Times New Roman"/>
          <w:sz w:val="24"/>
          <w:szCs w:val="24"/>
          <w:highlight w:val="none"/>
          <w:lang w:val="en-US" w:eastAsia="zh-CN"/>
        </w:rPr>
        <w:t>1</w:t>
      </w:r>
      <w:r>
        <w:rPr>
          <w:rFonts w:hint="default" w:ascii="Times New Roman" w:hAnsi="Times New Roman" w:eastAsia="仿宋" w:cs="Times New Roman"/>
          <w:sz w:val="24"/>
          <w:szCs w:val="24"/>
          <w:highlight w:val="none"/>
          <w:lang w:eastAsia="zh-CN"/>
        </w:rPr>
        <w:t>：绿色工厂必须满足各项必选要求，可选要求按照受评工厂满足程度在</w:t>
      </w:r>
      <w:r>
        <w:rPr>
          <w:rFonts w:hint="default" w:ascii="Times New Roman" w:hAnsi="Times New Roman" w:eastAsia="仿宋" w:cs="Times New Roman"/>
          <w:sz w:val="24"/>
          <w:szCs w:val="24"/>
          <w:highlight w:val="none"/>
          <w:lang w:val="en-US" w:eastAsia="zh-CN"/>
        </w:rPr>
        <w:t>0分到满分中取值</w:t>
      </w:r>
      <w:r>
        <w:rPr>
          <w:rFonts w:hint="default" w:ascii="Times New Roman" w:hAnsi="Times New Roman" w:eastAsia="仿宋" w:cs="Times New Roman"/>
          <w:sz w:val="24"/>
          <w:szCs w:val="24"/>
          <w:highlight w:val="none"/>
          <w:lang w:eastAsia="zh-CN"/>
        </w:rPr>
        <w:t>。</w:t>
      </w:r>
    </w:p>
    <w:p w14:paraId="23FDF4AA">
      <w:pPr>
        <w:spacing w:line="360" w:lineRule="exact"/>
        <w:rPr>
          <w:rFonts w:hint="default" w:ascii="Times New Roman" w:hAnsi="Times New Roman" w:eastAsia="仿宋" w:cs="Times New Roman"/>
          <w:color w:val="000000" w:themeColor="text1"/>
          <w:sz w:val="32"/>
          <w:szCs w:val="32"/>
          <w14:textFill>
            <w14:solidFill>
              <w14:schemeClr w14:val="tx1"/>
            </w14:solidFill>
          </w14:textFill>
        </w:rPr>
        <w:sectPr>
          <w:pgSz w:w="16838" w:h="11906" w:orient="landscape"/>
          <w:pgMar w:top="1417" w:right="1417" w:bottom="1417" w:left="1417" w:header="1020" w:footer="1304" w:gutter="0"/>
          <w:pgNumType w:fmt="decimal"/>
          <w:cols w:space="0" w:num="1"/>
          <w:rtlGutter w:val="0"/>
          <w:docGrid w:type="lines" w:linePitch="453" w:charSpace="0"/>
        </w:sectPr>
      </w:pPr>
      <w:r>
        <w:rPr>
          <w:rFonts w:hint="default" w:ascii="Times New Roman" w:hAnsi="Times New Roman" w:eastAsia="仿宋" w:cs="Times New Roman"/>
          <w:kern w:val="0"/>
          <w:sz w:val="24"/>
          <w:szCs w:val="24"/>
          <w:highlight w:val="none"/>
          <w:lang w:val="en-US" w:eastAsia="zh-CN"/>
        </w:rPr>
        <w:t>注2：凡符合“绿色工厂行业标准清单”的工厂，请根据清单中的标准自行设计该表格。</w:t>
      </w:r>
    </w:p>
    <w:p w14:paraId="1EA3A4B3">
      <w:pPr>
        <w:ind w:firstLine="0" w:firstLineChars="0"/>
        <w:rPr>
          <w:rFonts w:hint="default"/>
          <w:lang w:val="en-US" w:eastAsia="zh-CN"/>
        </w:rPr>
      </w:pPr>
    </w:p>
    <w:sectPr>
      <w:headerReference r:id="rId6" w:type="default"/>
      <w:footerReference r:id="rId7" w:type="default"/>
      <w:pgSz w:w="11906" w:h="16838"/>
      <w:pgMar w:top="1417" w:right="1417" w:bottom="1417" w:left="1417" w:header="1020" w:footer="1304" w:gutter="0"/>
      <w:pgNumType w:fmt="decimal"/>
      <w:cols w:space="0" w:num="1"/>
      <w:rtlGutter w:val="0"/>
      <w:docGrid w:type="lines" w:linePitch="45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7ACF82-6F61-4D75-B2CD-5FA95BB609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DD79DD4-6E2B-44C1-A6AE-8B6BDD323572}"/>
  </w:font>
  <w:font w:name="仿宋">
    <w:panose1 w:val="02010609060101010101"/>
    <w:charset w:val="86"/>
    <w:family w:val="auto"/>
    <w:pitch w:val="default"/>
    <w:sig w:usb0="800002BF" w:usb1="38CF7CFA" w:usb2="00000016" w:usb3="00000000" w:csb0="00040001" w:csb1="00000000"/>
    <w:embedRegular r:id="rId3" w:fontKey="{5AE5B66C-DD0C-41F1-B16A-F6D553EE9F16}"/>
  </w:font>
  <w:font w:name="仿宋_GB2312">
    <w:altName w:val="仿宋"/>
    <w:panose1 w:val="02010609030101010101"/>
    <w:charset w:val="86"/>
    <w:family w:val="modern"/>
    <w:pitch w:val="default"/>
    <w:sig w:usb0="00000000" w:usb1="00000000" w:usb2="00000000" w:usb3="00000000" w:csb0="00040000" w:csb1="00000000"/>
    <w:embedRegular r:id="rId4" w:fontKey="{9ECE37BE-F577-4519-93B8-C454C2AFA344}"/>
  </w:font>
  <w:font w:name="方正小标宋简体">
    <w:panose1 w:val="02000000000000000000"/>
    <w:charset w:val="86"/>
    <w:family w:val="auto"/>
    <w:pitch w:val="default"/>
    <w:sig w:usb0="00000001" w:usb1="08000000" w:usb2="00000000" w:usb3="00000000" w:csb0="00040000" w:csb1="00000000"/>
    <w:embedRegular r:id="rId5" w:fontKey="{A89DE02D-4D38-427A-8B7B-4B3D408BCC6C}"/>
  </w:font>
  <w:font w:name="方正仿宋简体">
    <w:panose1 w:val="02000000000000000000"/>
    <w:charset w:val="86"/>
    <w:family w:val="auto"/>
    <w:pitch w:val="default"/>
    <w:sig w:usb0="A00002BF" w:usb1="184F6CFA" w:usb2="00000012" w:usb3="00000000" w:csb0="00040001" w:csb1="00000000"/>
    <w:embedRegular r:id="rId6" w:fontKey="{2BFF3A3C-A26A-46F6-8FEA-3E0D1B0A37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583F">
    <w:pPr>
      <w:pStyle w:val="4"/>
      <w:spacing w:line="240" w:lineRule="auto"/>
      <w:ind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E351B5">
                          <w:pPr>
                            <w:pStyle w:val="4"/>
                            <w:spacing w:line="240" w:lineRule="auto"/>
                            <w:ind w:firstLine="0" w:firstLineChars="0"/>
                            <w:rPr>
                              <w:rFonts w:hint="default" w:ascii="Times New Roman" w:hAnsi="Times New Roman" w:eastAsia="仿宋"/>
                              <w:sz w:val="28"/>
                              <w:szCs w:val="28"/>
                              <w:lang w:eastAsia="zh-CN"/>
                            </w:rPr>
                          </w:pPr>
                          <w:r>
                            <w:rPr>
                              <w:rFonts w:hint="default" w:ascii="Times New Roman" w:hAnsi="Times New Roman" w:eastAsia="仿宋" w:cs="Times New Roman"/>
                              <w:sz w:val="28"/>
                              <w:szCs w:val="28"/>
                              <w:lang w:eastAsia="zh-CN"/>
                            </w:rPr>
                            <w:t xml:space="preserve">— </w:t>
                          </w:r>
                          <w:r>
                            <w:rPr>
                              <w:rFonts w:hint="default" w:ascii="Times New Roman" w:hAnsi="Times New Roman" w:eastAsia="仿宋" w:cs="Times New Roman"/>
                              <w:sz w:val="28"/>
                              <w:szCs w:val="28"/>
                              <w:lang w:eastAsia="zh-CN"/>
                            </w:rPr>
                            <w:fldChar w:fldCharType="begin"/>
                          </w:r>
                          <w:r>
                            <w:rPr>
                              <w:rFonts w:hint="default" w:ascii="Times New Roman" w:hAnsi="Times New Roman" w:eastAsia="仿宋" w:cs="Times New Roman"/>
                              <w:sz w:val="28"/>
                              <w:szCs w:val="28"/>
                              <w:lang w:eastAsia="zh-CN"/>
                            </w:rPr>
                            <w:instrText xml:space="preserve"> PAGE  \* MERGEFORMAT </w:instrText>
                          </w:r>
                          <w:r>
                            <w:rPr>
                              <w:rFonts w:hint="default" w:ascii="Times New Roman" w:hAnsi="Times New Roman" w:eastAsia="仿宋" w:cs="Times New Roman"/>
                              <w:sz w:val="28"/>
                              <w:szCs w:val="28"/>
                              <w:lang w:eastAsia="zh-CN"/>
                            </w:rPr>
                            <w:fldChar w:fldCharType="separate"/>
                          </w:r>
                          <w:r>
                            <w:rPr>
                              <w:rFonts w:hint="default" w:ascii="Times New Roman" w:hAnsi="Times New Roman" w:eastAsia="仿宋" w:cs="Times New Roman"/>
                              <w:sz w:val="28"/>
                              <w:szCs w:val="28"/>
                              <w:lang w:eastAsia="zh-CN"/>
                            </w:rPr>
                            <w:t>1</w:t>
                          </w:r>
                          <w:r>
                            <w:rPr>
                              <w:rFonts w:hint="default" w:ascii="Times New Roman" w:hAnsi="Times New Roman" w:eastAsia="仿宋" w:cs="Times New Roman"/>
                              <w:sz w:val="28"/>
                              <w:szCs w:val="28"/>
                              <w:lang w:eastAsia="zh-CN"/>
                            </w:rPr>
                            <w:fldChar w:fldCharType="end"/>
                          </w:r>
                          <w:r>
                            <w:rPr>
                              <w:rFonts w:hint="default" w:ascii="Times New Roman" w:hAnsi="Times New Roman" w:eastAsia="仿宋"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BE351B5">
                    <w:pPr>
                      <w:pStyle w:val="4"/>
                      <w:spacing w:line="240" w:lineRule="auto"/>
                      <w:ind w:firstLine="0" w:firstLineChars="0"/>
                      <w:rPr>
                        <w:rFonts w:hint="default" w:ascii="Times New Roman" w:hAnsi="Times New Roman" w:eastAsia="仿宋"/>
                        <w:sz w:val="28"/>
                        <w:szCs w:val="28"/>
                        <w:lang w:eastAsia="zh-CN"/>
                      </w:rPr>
                    </w:pPr>
                    <w:r>
                      <w:rPr>
                        <w:rFonts w:hint="default" w:ascii="Times New Roman" w:hAnsi="Times New Roman" w:eastAsia="仿宋" w:cs="Times New Roman"/>
                        <w:sz w:val="28"/>
                        <w:szCs w:val="28"/>
                        <w:lang w:eastAsia="zh-CN"/>
                      </w:rPr>
                      <w:t xml:space="preserve">— </w:t>
                    </w:r>
                    <w:r>
                      <w:rPr>
                        <w:rFonts w:hint="default" w:ascii="Times New Roman" w:hAnsi="Times New Roman" w:eastAsia="仿宋" w:cs="Times New Roman"/>
                        <w:sz w:val="28"/>
                        <w:szCs w:val="28"/>
                        <w:lang w:eastAsia="zh-CN"/>
                      </w:rPr>
                      <w:fldChar w:fldCharType="begin"/>
                    </w:r>
                    <w:r>
                      <w:rPr>
                        <w:rFonts w:hint="default" w:ascii="Times New Roman" w:hAnsi="Times New Roman" w:eastAsia="仿宋" w:cs="Times New Roman"/>
                        <w:sz w:val="28"/>
                        <w:szCs w:val="28"/>
                        <w:lang w:eastAsia="zh-CN"/>
                      </w:rPr>
                      <w:instrText xml:space="preserve"> PAGE  \* MERGEFORMAT </w:instrText>
                    </w:r>
                    <w:r>
                      <w:rPr>
                        <w:rFonts w:hint="default" w:ascii="Times New Roman" w:hAnsi="Times New Roman" w:eastAsia="仿宋" w:cs="Times New Roman"/>
                        <w:sz w:val="28"/>
                        <w:szCs w:val="28"/>
                        <w:lang w:eastAsia="zh-CN"/>
                      </w:rPr>
                      <w:fldChar w:fldCharType="separate"/>
                    </w:r>
                    <w:r>
                      <w:rPr>
                        <w:rFonts w:hint="default" w:ascii="Times New Roman" w:hAnsi="Times New Roman" w:eastAsia="仿宋" w:cs="Times New Roman"/>
                        <w:sz w:val="28"/>
                        <w:szCs w:val="28"/>
                        <w:lang w:eastAsia="zh-CN"/>
                      </w:rPr>
                      <w:t>1</w:t>
                    </w:r>
                    <w:r>
                      <w:rPr>
                        <w:rFonts w:hint="default" w:ascii="Times New Roman" w:hAnsi="Times New Roman" w:eastAsia="仿宋" w:cs="Times New Roman"/>
                        <w:sz w:val="28"/>
                        <w:szCs w:val="28"/>
                        <w:lang w:eastAsia="zh-CN"/>
                      </w:rPr>
                      <w:fldChar w:fldCharType="end"/>
                    </w:r>
                    <w:r>
                      <w:rPr>
                        <w:rFonts w:hint="default" w:ascii="Times New Roman" w:hAnsi="Times New Roman" w:eastAsia="仿宋" w:cs="Times New Roman"/>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8DF9C">
    <w:pPr>
      <w:pStyle w:val="4"/>
      <w:spacing w:line="240" w:lineRule="auto"/>
      <w:ind w:right="360"/>
      <w:rPr>
        <w:rFonts w:ascii="Calibri" w:hAnsi="Calibri"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39AB82">
                          <w:pPr>
                            <w:pStyle w:val="4"/>
                            <w:spacing w:line="240" w:lineRule="auto"/>
                            <w:ind w:firstLine="0" w:firstLineChars="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339AB82">
                    <w:pPr>
                      <w:pStyle w:val="4"/>
                      <w:spacing w:line="240" w:lineRule="auto"/>
                      <w:ind w:firstLine="0" w:firstLineChars="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F535B">
    <w:pPr>
      <w:pStyle w:val="5"/>
      <w:pBdr>
        <w:bottom w:val="none" w:color="auto" w:sz="0" w:space="1"/>
      </w:pBdr>
      <w:spacing w:line="240" w:lineRule="auto"/>
      <w:ind w:firstLine="0" w:firstLineChars="0"/>
      <w:rPr>
        <w:rFonts w:ascii="Calibri" w:hAnsi="Calibri"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2F66A"/>
    <w:multiLevelType w:val="singleLevel"/>
    <w:tmpl w:val="1802F66A"/>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320"/>
  <w:drawingGridVerticalSpacing w:val="226"/>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iNmFiM2YyYjE1MjJmZWE2MDQxYWQzMzQxMjFmYTAifQ=="/>
  </w:docVars>
  <w:rsids>
    <w:rsidRoot w:val="48354878"/>
    <w:rsid w:val="02D36DFE"/>
    <w:rsid w:val="04371AC1"/>
    <w:rsid w:val="044A4F64"/>
    <w:rsid w:val="09BBC97E"/>
    <w:rsid w:val="0B934FE2"/>
    <w:rsid w:val="0C40570E"/>
    <w:rsid w:val="0F536146"/>
    <w:rsid w:val="16B93A50"/>
    <w:rsid w:val="19994201"/>
    <w:rsid w:val="1A4023A1"/>
    <w:rsid w:val="1A9C738F"/>
    <w:rsid w:val="1DFFED91"/>
    <w:rsid w:val="1E8C4EEA"/>
    <w:rsid w:val="23D97B99"/>
    <w:rsid w:val="268F6B05"/>
    <w:rsid w:val="2B5E0E22"/>
    <w:rsid w:val="2BB5BBCB"/>
    <w:rsid w:val="2BD243E3"/>
    <w:rsid w:val="2DBA4922"/>
    <w:rsid w:val="377E067F"/>
    <w:rsid w:val="39EA1721"/>
    <w:rsid w:val="412F0DD1"/>
    <w:rsid w:val="414B2598"/>
    <w:rsid w:val="47EDB82F"/>
    <w:rsid w:val="48354878"/>
    <w:rsid w:val="490B53EC"/>
    <w:rsid w:val="49DE7668"/>
    <w:rsid w:val="4BC6266F"/>
    <w:rsid w:val="4F4977F9"/>
    <w:rsid w:val="579CB64C"/>
    <w:rsid w:val="59AF0730"/>
    <w:rsid w:val="5DFF00F7"/>
    <w:rsid w:val="5FAD5FEC"/>
    <w:rsid w:val="679D3DF6"/>
    <w:rsid w:val="67D8609B"/>
    <w:rsid w:val="6D406023"/>
    <w:rsid w:val="777F306A"/>
    <w:rsid w:val="79FA7451"/>
    <w:rsid w:val="7FB674D9"/>
    <w:rsid w:val="8DAF1547"/>
    <w:rsid w:val="BBDEECF5"/>
    <w:rsid w:val="CDFEEB91"/>
    <w:rsid w:val="EB6B2635"/>
    <w:rsid w:val="F93D05F8"/>
    <w:rsid w:val="FF9F4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20" w:firstLineChars="200"/>
      <w:jc w:val="both"/>
    </w:pPr>
    <w:rPr>
      <w:rFonts w:ascii="Times New Roman" w:hAnsi="Times New Roman" w:eastAsia="仿宋" w:cstheme="minorBidi"/>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120"/>
      <w:jc w:val="both"/>
    </w:pPr>
    <w:rPr>
      <w:rFonts w:ascii="Calibri" w:hAnsi="Calibri" w:eastAsia="仿宋_GB2312" w:cs="Times New Roman"/>
      <w:kern w:val="2"/>
      <w:sz w:val="32"/>
      <w:lang w:val="en-US" w:eastAsia="zh-CN" w:bidi="ar-SA"/>
    </w:rPr>
  </w:style>
  <w:style w:type="paragraph" w:styleId="4">
    <w:name w:val="footer"/>
    <w:basedOn w:val="1"/>
    <w:qFormat/>
    <w:uiPriority w:val="0"/>
    <w:pPr>
      <w:widowControl w:val="0"/>
      <w:tabs>
        <w:tab w:val="center" w:pos="4153"/>
        <w:tab w:val="right" w:pos="8306"/>
      </w:tabs>
      <w:snapToGrid w:val="0"/>
      <w:jc w:val="left"/>
    </w:pPr>
    <w:rPr>
      <w:rFonts w:ascii="Calibri" w:hAnsi="Calibri" w:eastAsia="仿宋_GB2312" w:cs="Times New Roman"/>
      <w:kern w:val="2"/>
      <w:sz w:val="18"/>
      <w:szCs w:val="18"/>
      <w:lang w:val="en-US" w:eastAsia="zh-CN" w:bidi="ar-SA"/>
    </w:rPr>
  </w:style>
  <w:style w:type="paragraph" w:styleId="5">
    <w:name w:val="header"/>
    <w:basedOn w:val="1"/>
    <w:qFormat/>
    <w:uiPriority w:val="0"/>
    <w:pPr>
      <w:widowControl w:val="0"/>
      <w:pBdr>
        <w:bottom w:val="single" w:color="auto" w:sz="6" w:space="1"/>
      </w:pBdr>
      <w:tabs>
        <w:tab w:val="center" w:pos="4153"/>
        <w:tab w:val="right" w:pos="8306"/>
      </w:tabs>
      <w:snapToGrid w:val="0"/>
      <w:jc w:val="center"/>
    </w:pPr>
    <w:rPr>
      <w:rFonts w:ascii="Calibri" w:hAnsi="Calibri" w:eastAsia="仿宋_GB2312" w:cs="Times New Roman"/>
      <w:kern w:val="2"/>
      <w:sz w:val="18"/>
      <w:szCs w:val="18"/>
      <w:lang w:val="en-US" w:eastAsia="zh-CN" w:bidi="ar-SA"/>
    </w:rPr>
  </w:style>
  <w:style w:type="paragraph" w:customStyle="1" w:styleId="8">
    <w:name w:val="表格"/>
    <w:basedOn w:val="1"/>
    <w:qFormat/>
    <w:uiPriority w:val="0"/>
    <w:pPr>
      <w:widowControl/>
      <w:adjustRightInd/>
      <w:snapToGrid/>
      <w:spacing w:line="240" w:lineRule="auto"/>
      <w:ind w:firstLine="0" w:firstLineChars="0"/>
      <w:jc w:val="center"/>
      <w:textAlignment w:val="center"/>
    </w:pPr>
    <w:rPr>
      <w:rFonts w:cs="黑体"/>
      <w:color w:val="000000" w:themeColor="text1"/>
      <w:kern w:val="0"/>
      <w:sz w:val="24"/>
      <w:szCs w:val="22"/>
      <w:u w:val="none"/>
      <w:lang w:bidi="ar"/>
      <w14:textFill>
        <w14:solidFill>
          <w14:schemeClr w14:val="tx1"/>
        </w14:solidFill>
      </w14:textFill>
    </w:rPr>
  </w:style>
  <w:style w:type="paragraph" w:customStyle="1" w:styleId="9">
    <w:name w:val="列出段落2"/>
    <w:basedOn w:val="1"/>
    <w:qFormat/>
    <w:uiPriority w:val="99"/>
    <w:pPr>
      <w:ind w:firstLine="420" w:firstLineChars="200"/>
    </w:pPr>
    <w:rPr>
      <w:rFonts w:ascii="Times New Roman" w:hAnsi="Times New Roman"/>
      <w:sz w:val="30"/>
    </w:rPr>
  </w:style>
  <w:style w:type="paragraph" w:customStyle="1" w:styleId="10">
    <w:name w:val="Table Text"/>
    <w:basedOn w:val="1"/>
    <w:semiHidden/>
    <w:qFormat/>
    <w:uiPriority w:val="0"/>
    <w:rPr>
      <w:rFonts w:ascii="仿宋" w:hAnsi="仿宋" w:eastAsia="仿宋" w:cs="仿宋"/>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3413</Words>
  <Characters>3591</Characters>
  <Lines>0</Lines>
  <Paragraphs>0</Paragraphs>
  <TotalTime>22</TotalTime>
  <ScaleCrop>false</ScaleCrop>
  <LinksUpToDate>false</LinksUpToDate>
  <CharactersWithSpaces>3859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2024-05-29T18:54:00Z</dcterms:created>
  <dc:creator>摇到外婆桥。</dc:creator>
  <cp:lastModifiedBy>摇到外婆桥。</cp:lastModifiedBy>
  <cp:lastPrinted>2025-01-27T16:27:00Z</cp:lastPrinted>
  <dcterms:modified xsi:type="dcterms:W3CDTF">2025-02-11T09:11:58Z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45AC5263CB7F448F85EF818BAA83C6E1_13</vt:lpwstr>
  </property>
  <property fmtid="{D5CDD505-2E9C-101B-9397-08002B2CF9AE}" pid="4" name="KSOTemplateDocerSaveRecord">
    <vt:lpwstr>eyJoZGlkIjoiODliNmFiM2YyYjE1MjJmZWE2MDQxYWQzMzQxMjFmYTAiLCJ1c2VySWQiOiIzNDQ0Mzc3MjMifQ==</vt:lpwstr>
  </property>
</Properties>
</file>